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4C136"/>
    <w:p w14:paraId="7F317B71">
      <w:pPr>
        <w:spacing w:after="160"/>
        <w:jc w:val="center"/>
        <w:rPr>
          <w:b/>
          <w:bCs/>
          <w:szCs w:val="24"/>
        </w:rPr>
      </w:pPr>
      <w:r>
        <w:rPr>
          <w:b/>
          <w:bCs/>
          <w:szCs w:val="24"/>
        </w:rPr>
        <w:t>FEDERAL STATE AUTONOMOUS EDUCATIONAL INSTITUTION OF HIGHER EDUCATION</w:t>
      </w:r>
    </w:p>
    <w:p w14:paraId="592D2BE3">
      <w:pPr>
        <w:spacing w:after="160"/>
        <w:jc w:val="center"/>
        <w:rPr>
          <w:b/>
          <w:bCs/>
          <w:szCs w:val="24"/>
        </w:rPr>
      </w:pPr>
      <w:r>
        <w:rPr>
          <w:b/>
          <w:bCs/>
          <w:szCs w:val="24"/>
        </w:rPr>
        <w:t>I.M. SECHENOV FIRST MOSCOW STATE MEDICAL UNIVERSITY</w:t>
      </w:r>
    </w:p>
    <w:p w14:paraId="579F5D0A">
      <w:pPr>
        <w:spacing w:after="160"/>
        <w:jc w:val="center"/>
        <w:rPr>
          <w:b/>
          <w:bCs/>
          <w:szCs w:val="24"/>
        </w:rPr>
      </w:pPr>
      <w:r>
        <w:rPr>
          <w:b/>
          <w:bCs/>
          <w:szCs w:val="24"/>
        </w:rPr>
        <w:drawing>
          <wp:anchor distT="0" distB="0" distL="0" distR="0" simplePos="0" relativeHeight="251659264" behindDoc="1" locked="0" layoutInCell="1" allowOverlap="1">
            <wp:simplePos x="0" y="0"/>
            <wp:positionH relativeFrom="column">
              <wp:posOffset>623570</wp:posOffset>
            </wp:positionH>
            <wp:positionV relativeFrom="paragraph">
              <wp:posOffset>12065</wp:posOffset>
            </wp:positionV>
            <wp:extent cx="4250690" cy="2869565"/>
            <wp:effectExtent l="0" t="0" r="0" b="0"/>
            <wp:wrapNone/>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6" cstate="print"/>
                    <a:srcRect/>
                    <a:stretch>
                      <a:fillRect/>
                    </a:stretch>
                  </pic:blipFill>
                  <pic:spPr>
                    <a:xfrm>
                      <a:off x="0" y="0"/>
                      <a:ext cx="4250724" cy="2869339"/>
                    </a:xfrm>
                    <a:prstGeom prst="rect">
                      <a:avLst/>
                    </a:prstGeom>
                  </pic:spPr>
                </pic:pic>
              </a:graphicData>
            </a:graphic>
          </wp:anchor>
        </w:drawing>
      </w:r>
      <w:r>
        <w:rPr>
          <w:b/>
          <w:bCs/>
          <w:szCs w:val="24"/>
        </w:rPr>
        <w:t>OF THE MINISTRY OF HEALTH OF THE RUSSIAN FEDERATION</w:t>
      </w:r>
    </w:p>
    <w:p w14:paraId="49E7A0B7">
      <w:pPr>
        <w:spacing w:after="160"/>
        <w:jc w:val="center"/>
        <w:rPr>
          <w:b/>
          <w:bCs/>
          <w:szCs w:val="24"/>
        </w:rPr>
      </w:pPr>
      <w:r>
        <w:rPr>
          <w:b/>
          <w:bCs/>
          <w:szCs w:val="24"/>
        </w:rPr>
        <w:t>(SECHENOV UNIVERSITY)</w:t>
      </w:r>
    </w:p>
    <w:p w14:paraId="666AA31D"/>
    <w:p w14:paraId="3DA4E86E"/>
    <w:p w14:paraId="12FA2F1B"/>
    <w:p w14:paraId="4206FFEC"/>
    <w:p w14:paraId="5764D9A7"/>
    <w:p w14:paraId="52BE50C9"/>
    <w:p w14:paraId="107132D6"/>
    <w:p w14:paraId="2AFDF940"/>
    <w:p w14:paraId="428A0C3B"/>
    <w:p w14:paraId="2EB0258D"/>
    <w:p w14:paraId="3F8CD507"/>
    <w:p w14:paraId="01ECE0B2">
      <w:pPr>
        <w:spacing w:after="160"/>
        <w:rPr>
          <w:b/>
          <w:sz w:val="32"/>
        </w:rPr>
      </w:pPr>
    </w:p>
    <w:p w14:paraId="3FB97D7B">
      <w:pPr>
        <w:spacing w:after="160"/>
        <w:jc w:val="center"/>
        <w:rPr>
          <w:b/>
          <w:sz w:val="32"/>
        </w:rPr>
      </w:pPr>
    </w:p>
    <w:p w14:paraId="5B0AAFDE">
      <w:pPr>
        <w:spacing w:after="160"/>
        <w:jc w:val="center"/>
      </w:pPr>
      <w:r>
        <w:rPr>
          <w:b/>
          <w:sz w:val="32"/>
        </w:rPr>
        <w:t>MASTER'S THESIS</w:t>
      </w:r>
    </w:p>
    <w:p w14:paraId="38E40A05">
      <w:pPr>
        <w:spacing w:after="160"/>
        <w:jc w:val="center"/>
      </w:pPr>
      <w:r>
        <w:rPr>
          <w:b/>
        </w:rPr>
        <w:t>THE INTERPLAY OF CHRONIC INFLAMMATION AND CARDIOMETABOLIC RISK: A CASE-CONTROL STUDY ON METABOLIC SYNDROME AND PSORIASIS IN FARYAB PROVINCE, AFGHANISTAN (2024–2026)</w:t>
      </w:r>
    </w:p>
    <w:p w14:paraId="4CEC9EF6">
      <w:pPr>
        <w:spacing w:after="160"/>
        <w:jc w:val="center"/>
      </w:pPr>
    </w:p>
    <w:p w14:paraId="38970D0D">
      <w:pPr>
        <w:spacing w:after="160"/>
        <w:jc w:val="center"/>
      </w:pPr>
      <w:r>
        <w:rPr>
          <w:b/>
        </w:rPr>
        <w:t>FIELD OF EDUCATION: 32.04.01 PUBLIC HEALTH</w:t>
      </w:r>
    </w:p>
    <w:p w14:paraId="7282B148"/>
    <w:p w14:paraId="1286F022"/>
    <w:p w14:paraId="214A3E59"/>
    <w:p w14:paraId="6F273445">
      <w:pPr>
        <w:spacing w:after="100"/>
        <w:ind w:left="4680" w:hanging="4680"/>
        <w:rPr>
          <w:b/>
        </w:rPr>
      </w:pPr>
    </w:p>
    <w:p w14:paraId="25BD976D">
      <w:pPr>
        <w:spacing w:after="100"/>
        <w:ind w:left="4680" w:hanging="4680"/>
      </w:pPr>
      <w:r>
        <w:rPr>
          <w:b/>
        </w:rPr>
        <w:t xml:space="preserve">STUDENT: </w:t>
      </w:r>
      <w:r>
        <w:rPr>
          <w:b/>
          <w:bCs/>
        </w:rPr>
        <w:t>SAYED RUHULLAH DIMRAL</w:t>
      </w:r>
    </w:p>
    <w:p w14:paraId="2A3623B8">
      <w:pPr>
        <w:spacing w:after="100"/>
        <w:ind w:left="4680" w:hanging="4680"/>
        <w:rPr>
          <w:b/>
        </w:rPr>
      </w:pPr>
      <w:r>
        <w:rPr>
          <w:b/>
        </w:rPr>
        <w:t>GROUP: 713-06</w:t>
      </w:r>
    </w:p>
    <w:p w14:paraId="3981DF56">
      <w:pPr>
        <w:spacing w:after="100"/>
        <w:ind w:left="4680" w:hanging="4680"/>
        <w:rPr>
          <w:b/>
        </w:rPr>
      </w:pPr>
      <w:r>
        <w:rPr>
          <w:b/>
        </w:rPr>
        <w:t>STUDENT ID: 900005559421</w:t>
      </w:r>
    </w:p>
    <w:p w14:paraId="6F6EC24C">
      <w:pPr>
        <w:spacing w:after="100"/>
        <w:rPr>
          <w:b/>
        </w:rPr>
      </w:pPr>
      <w:r>
        <w:rPr>
          <w:b/>
        </w:rPr>
        <w:t>SUPERVISOR</w:t>
      </w:r>
      <w:r>
        <w:rPr>
          <w:bCs/>
        </w:rPr>
        <w:t xml:space="preserve">: </w:t>
      </w:r>
      <w:r>
        <w:rPr>
          <w:b/>
        </w:rPr>
        <w:t>PROFESSOR TORCHINSKY NIKOLAY VIKTOROVICH</w:t>
      </w:r>
    </w:p>
    <w:p w14:paraId="08B337D5">
      <w:pPr>
        <w:spacing w:after="100"/>
        <w:ind w:left="4680" w:hanging="4680"/>
        <w:rPr>
          <w:b/>
        </w:rPr>
      </w:pPr>
    </w:p>
    <w:p w14:paraId="04AF9C48">
      <w:pPr>
        <w:spacing w:after="160"/>
        <w:jc w:val="center"/>
        <w:rPr>
          <w:b/>
        </w:rPr>
      </w:pPr>
    </w:p>
    <w:p w14:paraId="77568801">
      <w:pPr>
        <w:spacing w:after="160"/>
        <w:jc w:val="center"/>
        <w:rPr>
          <w:b/>
        </w:rPr>
      </w:pPr>
      <w:r>
        <w:rPr>
          <w:b/>
        </w:rPr>
        <w:t>Moscow, 2026</w:t>
      </w:r>
    </w:p>
    <w:p w14:paraId="0B0504D8">
      <w:pPr>
        <w:jc w:val="center"/>
      </w:pPr>
      <w:r>
        <w:rPr>
          <w:b/>
          <w:bCs/>
          <w:caps/>
          <w:sz w:val="32"/>
          <w:szCs w:val="32"/>
        </w:rPr>
        <w:t>DECLARATION OF ORIGINALITY</w:t>
      </w:r>
    </w:p>
    <w:p w14:paraId="1A1208C8">
      <w:pPr>
        <w:spacing w:before="40"/>
      </w:pPr>
    </w:p>
    <w:p w14:paraId="6436EF85">
      <w:pPr>
        <w:pStyle w:val="58"/>
        <w:shd w:val="clear" w:color="auto" w:fill="FFFFFF"/>
        <w:spacing w:before="240" w:beforeAutospacing="0" w:after="240" w:afterAutospacing="0"/>
        <w:jc w:val="both"/>
        <w:rPr>
          <w:color w:val="0F1115"/>
          <w:sz w:val="28"/>
          <w:szCs w:val="28"/>
        </w:rPr>
      </w:pPr>
      <w:r>
        <w:rPr>
          <w:color w:val="0F1115"/>
          <w:sz w:val="28"/>
          <w:szCs w:val="28"/>
        </w:rPr>
        <w:t>I, Sayed Ruhullah Dimral, declare that this Master's thesis is my own original work. I wrote it independently as part of the requirements for the Master of Public Health degree at I.M. Sechenov First Moscow State Medical University (Sechenov University).</w:t>
      </w:r>
    </w:p>
    <w:p w14:paraId="66A0B9DB">
      <w:pPr>
        <w:pStyle w:val="58"/>
        <w:shd w:val="clear" w:color="auto" w:fill="FFFFFF"/>
        <w:spacing w:before="240" w:beforeAutospacing="0" w:after="240" w:afterAutospacing="0"/>
        <w:jc w:val="both"/>
        <w:rPr>
          <w:color w:val="0F1115"/>
          <w:sz w:val="28"/>
          <w:szCs w:val="28"/>
        </w:rPr>
      </w:pPr>
      <w:r>
        <w:rPr>
          <w:color w:val="0F1115"/>
          <w:sz w:val="28"/>
          <w:szCs w:val="28"/>
        </w:rPr>
        <w:t>To the best of my knowledge and belief, this thesis does not contain any material that has been previously published or written by someone else, except where I have clearly credited the original author through proper citations and references. I have followed the academic standards for citing all sources of information used in this work, and I confirm that this thesis does not violate the intellectual property rights of any third party.</w:t>
      </w:r>
    </w:p>
    <w:p w14:paraId="4F284E3B">
      <w:pPr>
        <w:pStyle w:val="58"/>
        <w:shd w:val="clear" w:color="auto" w:fill="FFFFFF"/>
        <w:spacing w:before="240" w:beforeAutospacing="0" w:after="240" w:afterAutospacing="0"/>
        <w:jc w:val="both"/>
        <w:rPr>
          <w:color w:val="0F1115"/>
          <w:sz w:val="28"/>
          <w:szCs w:val="28"/>
        </w:rPr>
      </w:pPr>
      <w:r>
        <w:rPr>
          <w:color w:val="0F1115"/>
          <w:sz w:val="28"/>
          <w:szCs w:val="28"/>
        </w:rPr>
        <w:t>I also declare that this thesis, whether in full or in part, has not been submitted for any other degree or professional qualification at Sechenov University or any other institution. It has not been accepted for the award of any other degree elsewhere.</w:t>
      </w:r>
    </w:p>
    <w:p w14:paraId="0CFBF713">
      <w:pPr>
        <w:pStyle w:val="58"/>
        <w:shd w:val="clear" w:color="auto" w:fill="FFFFFF"/>
        <w:spacing w:before="240" w:beforeAutospacing="0" w:after="240" w:afterAutospacing="0"/>
        <w:jc w:val="both"/>
        <w:rPr>
          <w:rFonts w:ascii="SimSun" w:hAnsi="SimSun" w:cs="SimSun"/>
          <w:color w:val="0F1115"/>
          <w:sz w:val="28"/>
          <w:szCs w:val="28"/>
        </w:rPr>
      </w:pPr>
      <w:r>
        <w:rPr>
          <w:color w:val="0F1115"/>
          <w:sz w:val="28"/>
          <w:szCs w:val="28"/>
        </w:rPr>
        <w:t>I understand that making a false declaration is a serious violation of Sechenov University's academic integrity policy. If any part of this declaration is found to be untrue, I accept that disciplinary action may be taken against me, including the cancellation of my degree</w:t>
      </w:r>
    </w:p>
    <w:p w14:paraId="3938D8CD">
      <w:pPr>
        <w:spacing w:before="40"/>
        <w:jc w:val="both"/>
      </w:pPr>
    </w:p>
    <w:p w14:paraId="51DF7B56">
      <w:pPr>
        <w:spacing w:after="200"/>
        <w:jc w:val="both"/>
        <w:rPr>
          <w:b/>
          <w:bCs/>
        </w:rPr>
      </w:pPr>
      <w:r>
        <w:rPr>
          <w:b/>
          <w:bCs/>
          <w:szCs w:val="24"/>
        </w:rPr>
        <w:t>Student</w:t>
      </w:r>
      <w:r>
        <w:rPr>
          <w:b/>
          <w:bCs/>
        </w:rPr>
        <w:t>: SAyed RuhullAh DimrAl</w:t>
      </w:r>
    </w:p>
    <w:p w14:paraId="75C79ED1">
      <w:pPr>
        <w:spacing w:before="40" w:after="40"/>
        <w:jc w:val="both"/>
      </w:pPr>
      <w:r>
        <w:rPr>
          <w:b/>
          <w:bCs/>
          <w:szCs w:val="24"/>
        </w:rPr>
        <w:t xml:space="preserve">SignAture:  </w:t>
      </w:r>
      <w:r>
        <w:rPr>
          <w:szCs w:val="24"/>
          <w:u w:val="single"/>
        </w:rPr>
        <w:t>____________________________________</w:t>
      </w:r>
    </w:p>
    <w:p w14:paraId="55ABB926">
      <w:pPr>
        <w:spacing w:before="40" w:after="40"/>
        <w:jc w:val="both"/>
      </w:pPr>
      <w:r>
        <w:rPr>
          <w:b/>
          <w:bCs/>
          <w:szCs w:val="24"/>
        </w:rPr>
        <w:t xml:space="preserve">DAte:  </w:t>
      </w:r>
      <w:r>
        <w:rPr>
          <w:szCs w:val="24"/>
          <w:u w:val="single"/>
        </w:rPr>
        <w:t>_________________________________________</w:t>
      </w:r>
      <w:bookmarkStart w:id="116" w:name="_GoBack"/>
      <w:bookmarkEnd w:id="116"/>
    </w:p>
    <w:p w14:paraId="77FE100F">
      <w:pPr>
        <w:spacing w:after="200"/>
        <w:jc w:val="both"/>
      </w:pPr>
    </w:p>
    <w:p w14:paraId="589F877A">
      <w:pPr>
        <w:spacing w:after="200"/>
        <w:jc w:val="both"/>
      </w:pPr>
      <w:r>
        <w:rPr>
          <w:b/>
          <w:bCs/>
          <w:szCs w:val="24"/>
        </w:rPr>
        <w:t>Confirmed by Supervisor</w:t>
      </w:r>
    </w:p>
    <w:p w14:paraId="30C6AFA4">
      <w:pPr>
        <w:spacing w:before="60" w:after="60"/>
        <w:jc w:val="both"/>
        <w:rPr>
          <w:sz w:val="21"/>
        </w:rPr>
      </w:pPr>
      <w:r>
        <w:rPr>
          <w:b/>
          <w:bCs/>
          <w:szCs w:val="24"/>
        </w:rPr>
        <w:t>Supervisor NAme:  Professor Torchinsky NikolAy Viktorovich</w:t>
      </w:r>
    </w:p>
    <w:p w14:paraId="0236CF8E">
      <w:pPr>
        <w:spacing w:before="40" w:after="40"/>
        <w:jc w:val="both"/>
        <w:rPr>
          <w:b/>
          <w:bCs/>
        </w:rPr>
      </w:pPr>
    </w:p>
    <w:p w14:paraId="1640F074">
      <w:pPr>
        <w:spacing w:before="40" w:after="40"/>
        <w:jc w:val="both"/>
        <w:rPr>
          <w:b/>
          <w:bCs/>
        </w:rPr>
      </w:pPr>
    </w:p>
    <w:p w14:paraId="4EA3A5D7">
      <w:pPr>
        <w:spacing w:before="40" w:after="40"/>
        <w:jc w:val="both"/>
      </w:pPr>
      <w:r>
        <w:rPr>
          <w:b/>
          <w:bCs/>
          <w:szCs w:val="24"/>
        </w:rPr>
        <w:t xml:space="preserve">SignAture:  </w:t>
      </w:r>
      <w:r>
        <w:rPr>
          <w:szCs w:val="24"/>
          <w:u w:val="single"/>
        </w:rPr>
        <w:t>____________________________________</w:t>
      </w:r>
    </w:p>
    <w:p w14:paraId="6598D023">
      <w:pPr>
        <w:spacing w:before="40" w:after="40"/>
        <w:jc w:val="both"/>
      </w:pPr>
      <w:r>
        <w:rPr>
          <w:b/>
          <w:bCs/>
          <w:szCs w:val="24"/>
        </w:rPr>
        <w:t xml:space="preserve">DAte:  </w:t>
      </w:r>
      <w:r>
        <w:rPr>
          <w:szCs w:val="24"/>
          <w:u w:val="single"/>
        </w:rPr>
        <w:t>_________________________________________</w:t>
      </w:r>
    </w:p>
    <w:p w14:paraId="41F3C61B">
      <w:pPr>
        <w:rPr>
          <w:b/>
          <w:bCs/>
          <w:szCs w:val="24"/>
        </w:rPr>
      </w:pPr>
    </w:p>
    <w:p w14:paraId="068A3E00">
      <w:pPr>
        <w:jc w:val="center"/>
      </w:pPr>
      <w:r>
        <w:rPr>
          <w:b/>
          <w:bCs/>
          <w:szCs w:val="24"/>
        </w:rPr>
        <w:t>Moscow, 2026</w:t>
      </w:r>
    </w:p>
    <w:p w14:paraId="3227CFBB">
      <w:pPr>
        <w:spacing w:after="160"/>
        <w:jc w:val="center"/>
        <w:rPr>
          <w:b/>
          <w:sz w:val="32"/>
        </w:rPr>
      </w:pPr>
    </w:p>
    <w:p w14:paraId="025F7512">
      <w:pPr>
        <w:spacing w:after="160"/>
        <w:jc w:val="center"/>
        <w:rPr>
          <w:b/>
          <w:sz w:val="32"/>
        </w:rPr>
      </w:pPr>
      <w:r>
        <w:rPr>
          <w:b/>
          <w:sz w:val="32"/>
        </w:rPr>
        <w:t>Table of Contents</w:t>
      </w:r>
    </w:p>
    <w:p w14:paraId="70EFF21B">
      <w:pPr>
        <w:spacing w:after="160"/>
        <w:jc w:val="center"/>
        <w:rPr>
          <w:b/>
        </w:rPr>
      </w:pPr>
    </w:p>
    <w:p w14:paraId="7EF29286">
      <w:pPr>
        <w:pStyle w:val="21"/>
        <w:tabs>
          <w:tab w:val="right" w:leader="dot" w:pos="9000"/>
        </w:tabs>
      </w:pPr>
      <w:r>
        <w:fldChar w:fldCharType="begin"/>
      </w:r>
      <w:r>
        <w:instrText xml:space="preserve">TOC \h \z \u \o "1-3"</w:instrText>
      </w:r>
      <w:r>
        <w:fldChar w:fldCharType="separate"/>
      </w:r>
      <w:r>
        <w:fldChar w:fldCharType="begin"/>
      </w:r>
      <w:r>
        <w:instrText xml:space="preserve"> HYPERLINK \l "__RefHeading___91821" </w:instrText>
      </w:r>
      <w:r>
        <w:fldChar w:fldCharType="separate"/>
      </w:r>
      <w:r>
        <w:t>List of Abbreviations</w:t>
      </w:r>
      <w:r>
        <w:tab/>
      </w:r>
      <w:r>
        <w:t>6</w:t>
      </w:r>
      <w:r>
        <w:fldChar w:fldCharType="end"/>
      </w:r>
    </w:p>
    <w:p w14:paraId="22741231">
      <w:pPr>
        <w:pStyle w:val="21"/>
        <w:tabs>
          <w:tab w:val="right" w:leader="dot" w:pos="9000"/>
        </w:tabs>
      </w:pPr>
      <w:r>
        <w:fldChar w:fldCharType="begin"/>
      </w:r>
      <w:r>
        <w:instrText xml:space="preserve"> HYPERLINK \l "__RefHeading___91822" </w:instrText>
      </w:r>
      <w:r>
        <w:fldChar w:fldCharType="separate"/>
      </w:r>
      <w:r>
        <w:t>__________________________________________________</w:t>
      </w:r>
      <w:r>
        <w:tab/>
      </w:r>
      <w:r>
        <w:t>6</w:t>
      </w:r>
      <w:r>
        <w:fldChar w:fldCharType="end"/>
      </w:r>
    </w:p>
    <w:p w14:paraId="45CF74BA">
      <w:pPr>
        <w:pStyle w:val="21"/>
        <w:tabs>
          <w:tab w:val="right" w:leader="dot" w:pos="9000"/>
        </w:tabs>
      </w:pPr>
      <w:r>
        <w:fldChar w:fldCharType="begin"/>
      </w:r>
      <w:r>
        <w:instrText xml:space="preserve"> HYPERLINK \l "__RefHeading___91823" </w:instrText>
      </w:r>
      <w:r>
        <w:fldChar w:fldCharType="separate"/>
      </w:r>
      <w:r>
        <w:t>List of Tables</w:t>
      </w:r>
      <w:r>
        <w:tab/>
      </w:r>
      <w:r>
        <w:fldChar w:fldCharType="begin"/>
      </w:r>
      <w:r>
        <w:instrText xml:space="preserve">PAGEREF __RefHeading___91823 \h</w:instrText>
      </w:r>
      <w:r>
        <w:fldChar w:fldCharType="separate"/>
      </w:r>
      <w:r>
        <w:t>7</w:t>
      </w:r>
      <w:r>
        <w:fldChar w:fldCharType="end"/>
      </w:r>
      <w:r>
        <w:fldChar w:fldCharType="end"/>
      </w:r>
    </w:p>
    <w:p w14:paraId="0906096C">
      <w:pPr>
        <w:pStyle w:val="21"/>
        <w:tabs>
          <w:tab w:val="right" w:leader="dot" w:pos="9000"/>
        </w:tabs>
      </w:pPr>
      <w:r>
        <w:fldChar w:fldCharType="begin"/>
      </w:r>
      <w:r>
        <w:instrText xml:space="preserve"> HYPERLINK \l "__RefHeading___91824" </w:instrText>
      </w:r>
      <w:r>
        <w:fldChar w:fldCharType="separate"/>
      </w:r>
      <w:r>
        <w:t>__________________________________________________</w:t>
      </w:r>
      <w:r>
        <w:tab/>
      </w:r>
      <w:r>
        <w:fldChar w:fldCharType="begin"/>
      </w:r>
      <w:r>
        <w:instrText xml:space="preserve">PAGEREF __RefHeading___91824 \h</w:instrText>
      </w:r>
      <w:r>
        <w:fldChar w:fldCharType="separate"/>
      </w:r>
      <w:r>
        <w:t>7</w:t>
      </w:r>
      <w:r>
        <w:fldChar w:fldCharType="end"/>
      </w:r>
      <w:r>
        <w:fldChar w:fldCharType="end"/>
      </w:r>
    </w:p>
    <w:p w14:paraId="0797E680">
      <w:pPr>
        <w:pStyle w:val="21"/>
        <w:tabs>
          <w:tab w:val="right" w:leader="dot" w:pos="9000"/>
        </w:tabs>
      </w:pPr>
      <w:r>
        <w:fldChar w:fldCharType="begin"/>
      </w:r>
      <w:r>
        <w:instrText xml:space="preserve"> HYPERLINK \l "__RefHeading___91825" </w:instrText>
      </w:r>
      <w:r>
        <w:fldChar w:fldCharType="separate"/>
      </w:r>
      <w:r>
        <w:t>Abstract</w:t>
      </w:r>
      <w:r>
        <w:tab/>
      </w:r>
      <w:r>
        <w:fldChar w:fldCharType="begin"/>
      </w:r>
      <w:r>
        <w:instrText xml:space="preserve">PAGEREF __RefHeading___91825 \h</w:instrText>
      </w:r>
      <w:r>
        <w:fldChar w:fldCharType="separate"/>
      </w:r>
      <w:r>
        <w:t>8</w:t>
      </w:r>
      <w:r>
        <w:fldChar w:fldCharType="end"/>
      </w:r>
      <w:r>
        <w:fldChar w:fldCharType="end"/>
      </w:r>
    </w:p>
    <w:p w14:paraId="47C63F6C">
      <w:pPr>
        <w:pStyle w:val="21"/>
        <w:tabs>
          <w:tab w:val="right" w:leader="dot" w:pos="9000"/>
        </w:tabs>
      </w:pPr>
      <w:r>
        <w:fldChar w:fldCharType="begin"/>
      </w:r>
      <w:r>
        <w:instrText xml:space="preserve"> HYPERLINK \l "__RefHeading___91826" </w:instrText>
      </w:r>
      <w:r>
        <w:fldChar w:fldCharType="separate"/>
      </w:r>
      <w:r>
        <w:t>Chapter I: Introduction</w:t>
      </w:r>
      <w:r>
        <w:tab/>
      </w:r>
      <w:r>
        <w:fldChar w:fldCharType="begin"/>
      </w:r>
      <w:r>
        <w:instrText xml:space="preserve">PAGEREF __RefHeading___91826 \h</w:instrText>
      </w:r>
      <w:r>
        <w:fldChar w:fldCharType="separate"/>
      </w:r>
      <w:r>
        <w:t>10</w:t>
      </w:r>
      <w:r>
        <w:fldChar w:fldCharType="end"/>
      </w:r>
      <w:r>
        <w:fldChar w:fldCharType="end"/>
      </w:r>
    </w:p>
    <w:p w14:paraId="638F6EDB">
      <w:pPr>
        <w:pStyle w:val="22"/>
        <w:tabs>
          <w:tab w:val="right" w:leader="dot" w:pos="9000"/>
        </w:tabs>
      </w:pPr>
      <w:r>
        <w:fldChar w:fldCharType="begin"/>
      </w:r>
      <w:r>
        <w:instrText xml:space="preserve"> HYPERLINK \l "__RefHeading___91827" </w:instrText>
      </w:r>
      <w:r>
        <w:fldChar w:fldCharType="separate"/>
      </w:r>
      <w:r>
        <w:t>__________________________________________________</w:t>
      </w:r>
      <w:r>
        <w:tab/>
      </w:r>
      <w:r>
        <w:fldChar w:fldCharType="begin"/>
      </w:r>
      <w:r>
        <w:instrText xml:space="preserve">PAGEREF __RefHeading___91827 \h</w:instrText>
      </w:r>
      <w:r>
        <w:fldChar w:fldCharType="separate"/>
      </w:r>
      <w:r>
        <w:t>10</w:t>
      </w:r>
      <w:r>
        <w:fldChar w:fldCharType="end"/>
      </w:r>
      <w:r>
        <w:fldChar w:fldCharType="end"/>
      </w:r>
    </w:p>
    <w:p w14:paraId="451D1845">
      <w:pPr>
        <w:pStyle w:val="22"/>
        <w:tabs>
          <w:tab w:val="right" w:leader="dot" w:pos="9000"/>
        </w:tabs>
      </w:pPr>
      <w:r>
        <w:fldChar w:fldCharType="begin"/>
      </w:r>
      <w:r>
        <w:instrText xml:space="preserve"> HYPERLINK \l "__RefHeading___91828" </w:instrText>
      </w:r>
      <w:r>
        <w:fldChar w:fldCharType="separate"/>
      </w:r>
      <w:r>
        <w:t>1.1 Background of the Study</w:t>
      </w:r>
      <w:r>
        <w:tab/>
      </w:r>
      <w:r>
        <w:fldChar w:fldCharType="begin"/>
      </w:r>
      <w:r>
        <w:instrText xml:space="preserve">PAGEREF __RefHeading___91828 \h</w:instrText>
      </w:r>
      <w:r>
        <w:fldChar w:fldCharType="separate"/>
      </w:r>
      <w:r>
        <w:t>10</w:t>
      </w:r>
      <w:r>
        <w:fldChar w:fldCharType="end"/>
      </w:r>
      <w:r>
        <w:fldChar w:fldCharType="end"/>
      </w:r>
    </w:p>
    <w:p w14:paraId="5A8A4C6D">
      <w:pPr>
        <w:pStyle w:val="22"/>
        <w:tabs>
          <w:tab w:val="right" w:leader="dot" w:pos="9000"/>
        </w:tabs>
      </w:pPr>
      <w:r>
        <w:fldChar w:fldCharType="begin"/>
      </w:r>
      <w:r>
        <w:instrText xml:space="preserve"> HYPERLINK \l "__RefHeading___91829" </w:instrText>
      </w:r>
      <w:r>
        <w:fldChar w:fldCharType="separate"/>
      </w:r>
      <w:r>
        <w:t>1.2 Statement of the Problem</w:t>
      </w:r>
      <w:r>
        <w:tab/>
      </w:r>
      <w:r>
        <w:fldChar w:fldCharType="begin"/>
      </w:r>
      <w:r>
        <w:instrText xml:space="preserve">PAGEREF __RefHeading___91829 \h</w:instrText>
      </w:r>
      <w:r>
        <w:fldChar w:fldCharType="separate"/>
      </w:r>
      <w:r>
        <w:t>11</w:t>
      </w:r>
      <w:r>
        <w:fldChar w:fldCharType="end"/>
      </w:r>
      <w:r>
        <w:fldChar w:fldCharType="end"/>
      </w:r>
    </w:p>
    <w:p w14:paraId="4D9C5997">
      <w:pPr>
        <w:pStyle w:val="22"/>
        <w:tabs>
          <w:tab w:val="right" w:leader="dot" w:pos="9000"/>
        </w:tabs>
      </w:pPr>
      <w:r>
        <w:fldChar w:fldCharType="begin"/>
      </w:r>
      <w:r>
        <w:instrText xml:space="preserve"> HYPERLINK \l "__RefHeading___91830" </w:instrText>
      </w:r>
      <w:r>
        <w:fldChar w:fldCharType="separate"/>
      </w:r>
      <w:r>
        <w:t>1.3 Rationale of the Study</w:t>
      </w:r>
      <w:r>
        <w:tab/>
      </w:r>
      <w:r>
        <w:fldChar w:fldCharType="begin"/>
      </w:r>
      <w:r>
        <w:instrText xml:space="preserve">PAGEREF __RefHeading___91830 \h</w:instrText>
      </w:r>
      <w:r>
        <w:fldChar w:fldCharType="separate"/>
      </w:r>
      <w:r>
        <w:t>12</w:t>
      </w:r>
      <w:r>
        <w:fldChar w:fldCharType="end"/>
      </w:r>
      <w:r>
        <w:fldChar w:fldCharType="end"/>
      </w:r>
    </w:p>
    <w:p w14:paraId="27194791">
      <w:pPr>
        <w:pStyle w:val="22"/>
        <w:tabs>
          <w:tab w:val="right" w:leader="dot" w:pos="9000"/>
        </w:tabs>
      </w:pPr>
      <w:r>
        <w:fldChar w:fldCharType="begin"/>
      </w:r>
      <w:r>
        <w:instrText xml:space="preserve"> HYPERLINK \l "__RefHeading___91831" </w:instrText>
      </w:r>
      <w:r>
        <w:fldChar w:fldCharType="separate"/>
      </w:r>
      <w:r>
        <w:t>1.4 Research Question</w:t>
      </w:r>
      <w:r>
        <w:tab/>
      </w:r>
      <w:r>
        <w:fldChar w:fldCharType="begin"/>
      </w:r>
      <w:r>
        <w:instrText xml:space="preserve">PAGEREF __RefHeading___91831 \h</w:instrText>
      </w:r>
      <w:r>
        <w:fldChar w:fldCharType="separate"/>
      </w:r>
      <w:r>
        <w:t>13</w:t>
      </w:r>
      <w:r>
        <w:fldChar w:fldCharType="end"/>
      </w:r>
      <w:r>
        <w:fldChar w:fldCharType="end"/>
      </w:r>
    </w:p>
    <w:p w14:paraId="0CAB885A">
      <w:pPr>
        <w:pStyle w:val="22"/>
        <w:tabs>
          <w:tab w:val="right" w:leader="dot" w:pos="9000"/>
        </w:tabs>
      </w:pPr>
      <w:r>
        <w:fldChar w:fldCharType="begin"/>
      </w:r>
      <w:r>
        <w:instrText xml:space="preserve"> HYPERLINK \l "__RefHeading___91832" </w:instrText>
      </w:r>
      <w:r>
        <w:fldChar w:fldCharType="separate"/>
      </w:r>
      <w:r>
        <w:t>1.5 Study Objectives</w:t>
      </w:r>
      <w:r>
        <w:tab/>
      </w:r>
      <w:r>
        <w:fldChar w:fldCharType="begin"/>
      </w:r>
      <w:r>
        <w:instrText xml:space="preserve">PAGEREF __RefHeading___91832 \h</w:instrText>
      </w:r>
      <w:r>
        <w:fldChar w:fldCharType="separate"/>
      </w:r>
      <w:r>
        <w:t>14</w:t>
      </w:r>
      <w:r>
        <w:fldChar w:fldCharType="end"/>
      </w:r>
      <w:r>
        <w:fldChar w:fldCharType="end"/>
      </w:r>
    </w:p>
    <w:p w14:paraId="00444272">
      <w:pPr>
        <w:pStyle w:val="23"/>
        <w:tabs>
          <w:tab w:val="right" w:leader="dot" w:pos="9000"/>
        </w:tabs>
      </w:pPr>
      <w:r>
        <w:fldChar w:fldCharType="begin"/>
      </w:r>
      <w:r>
        <w:instrText xml:space="preserve"> HYPERLINK \l "__RefHeading___91833" </w:instrText>
      </w:r>
      <w:r>
        <w:fldChar w:fldCharType="separate"/>
      </w:r>
      <w:r>
        <w:t>1.5.1 Primary Objective</w:t>
      </w:r>
      <w:r>
        <w:tab/>
      </w:r>
      <w:r>
        <w:fldChar w:fldCharType="begin"/>
      </w:r>
      <w:r>
        <w:instrText xml:space="preserve">PAGEREF __RefHeading___91833 \h</w:instrText>
      </w:r>
      <w:r>
        <w:fldChar w:fldCharType="separate"/>
      </w:r>
      <w:r>
        <w:t>14</w:t>
      </w:r>
      <w:r>
        <w:fldChar w:fldCharType="end"/>
      </w:r>
      <w:r>
        <w:fldChar w:fldCharType="end"/>
      </w:r>
    </w:p>
    <w:p w14:paraId="04D0392C">
      <w:pPr>
        <w:pStyle w:val="23"/>
        <w:tabs>
          <w:tab w:val="right" w:leader="dot" w:pos="9000"/>
        </w:tabs>
      </w:pPr>
      <w:r>
        <w:fldChar w:fldCharType="begin"/>
      </w:r>
      <w:r>
        <w:instrText xml:space="preserve"> HYPERLINK \l "__RefHeading___91834" </w:instrText>
      </w:r>
      <w:r>
        <w:fldChar w:fldCharType="separate"/>
      </w:r>
      <w:r>
        <w:t>1.5.2 Specific Objectives</w:t>
      </w:r>
      <w:r>
        <w:tab/>
      </w:r>
      <w:r>
        <w:fldChar w:fldCharType="begin"/>
      </w:r>
      <w:r>
        <w:instrText xml:space="preserve">PAGEREF __RefHeading___91834 \h</w:instrText>
      </w:r>
      <w:r>
        <w:fldChar w:fldCharType="separate"/>
      </w:r>
      <w:r>
        <w:t>14</w:t>
      </w:r>
      <w:r>
        <w:fldChar w:fldCharType="end"/>
      </w:r>
      <w:r>
        <w:fldChar w:fldCharType="end"/>
      </w:r>
    </w:p>
    <w:p w14:paraId="4C6D2F3F">
      <w:pPr>
        <w:pStyle w:val="22"/>
        <w:tabs>
          <w:tab w:val="right" w:leader="dot" w:pos="9000"/>
        </w:tabs>
      </w:pPr>
      <w:r>
        <w:fldChar w:fldCharType="begin"/>
      </w:r>
      <w:r>
        <w:instrText xml:space="preserve"> HYPERLINK \l "__RefHeading___91835" </w:instrText>
      </w:r>
      <w:r>
        <w:fldChar w:fldCharType="separate"/>
      </w:r>
      <w:r>
        <w:t>1.6 Research Hypotheses</w:t>
      </w:r>
      <w:r>
        <w:tab/>
      </w:r>
      <w:r>
        <w:fldChar w:fldCharType="begin"/>
      </w:r>
      <w:r>
        <w:instrText xml:space="preserve">PAGEREF __RefHeading___91835 \h</w:instrText>
      </w:r>
      <w:r>
        <w:fldChar w:fldCharType="separate"/>
      </w:r>
      <w:r>
        <w:t>14</w:t>
      </w:r>
      <w:r>
        <w:fldChar w:fldCharType="end"/>
      </w:r>
      <w:r>
        <w:fldChar w:fldCharType="end"/>
      </w:r>
    </w:p>
    <w:p w14:paraId="086064CA">
      <w:pPr>
        <w:pStyle w:val="22"/>
        <w:tabs>
          <w:tab w:val="right" w:leader="dot" w:pos="9000"/>
        </w:tabs>
      </w:pPr>
      <w:r>
        <w:fldChar w:fldCharType="begin"/>
      </w:r>
      <w:r>
        <w:instrText xml:space="preserve"> HYPERLINK \l "__RefHeading___91836" </w:instrText>
      </w:r>
      <w:r>
        <w:fldChar w:fldCharType="separate"/>
      </w:r>
      <w:r>
        <w:t>1.7 Significance of the Study</w:t>
      </w:r>
      <w:r>
        <w:tab/>
      </w:r>
      <w:r>
        <w:fldChar w:fldCharType="begin"/>
      </w:r>
      <w:r>
        <w:instrText xml:space="preserve">PAGEREF __RefHeading___91836 \h</w:instrText>
      </w:r>
      <w:r>
        <w:fldChar w:fldCharType="separate"/>
      </w:r>
      <w:r>
        <w:t>15</w:t>
      </w:r>
      <w:r>
        <w:fldChar w:fldCharType="end"/>
      </w:r>
      <w:r>
        <w:fldChar w:fldCharType="end"/>
      </w:r>
    </w:p>
    <w:p w14:paraId="1E7F157C">
      <w:pPr>
        <w:pStyle w:val="22"/>
        <w:tabs>
          <w:tab w:val="right" w:leader="dot" w:pos="9000"/>
        </w:tabs>
      </w:pPr>
      <w:r>
        <w:fldChar w:fldCharType="begin"/>
      </w:r>
      <w:r>
        <w:instrText xml:space="preserve"> HYPERLINK \l "__RefHeading___91837" </w:instrText>
      </w:r>
      <w:r>
        <w:fldChar w:fldCharType="separate"/>
      </w:r>
      <w:r>
        <w:t>1.8 Scope and Delimitations</w:t>
      </w:r>
      <w:r>
        <w:tab/>
      </w:r>
      <w:r>
        <w:fldChar w:fldCharType="begin"/>
      </w:r>
      <w:r>
        <w:instrText xml:space="preserve">PAGEREF __RefHeading___91837 \h</w:instrText>
      </w:r>
      <w:r>
        <w:fldChar w:fldCharType="separate"/>
      </w:r>
      <w:r>
        <w:t>15</w:t>
      </w:r>
      <w:r>
        <w:fldChar w:fldCharType="end"/>
      </w:r>
      <w:r>
        <w:fldChar w:fldCharType="end"/>
      </w:r>
    </w:p>
    <w:p w14:paraId="15BF587D">
      <w:pPr>
        <w:pStyle w:val="22"/>
        <w:tabs>
          <w:tab w:val="right" w:leader="dot" w:pos="9000"/>
        </w:tabs>
      </w:pPr>
      <w:r>
        <w:fldChar w:fldCharType="begin"/>
      </w:r>
      <w:r>
        <w:instrText xml:space="preserve"> HYPERLINK \l "__RefHeading___91838" </w:instrText>
      </w:r>
      <w:r>
        <w:fldChar w:fldCharType="separate"/>
      </w:r>
      <w:r>
        <w:t>1.9 Operational Definitions</w:t>
      </w:r>
      <w:r>
        <w:tab/>
      </w:r>
      <w:r>
        <w:fldChar w:fldCharType="begin"/>
      </w:r>
      <w:r>
        <w:instrText xml:space="preserve">PAGEREF __RefHeading___91838 \h</w:instrText>
      </w:r>
      <w:r>
        <w:fldChar w:fldCharType="separate"/>
      </w:r>
      <w:r>
        <w:t>16</w:t>
      </w:r>
      <w:r>
        <w:fldChar w:fldCharType="end"/>
      </w:r>
      <w:r>
        <w:fldChar w:fldCharType="end"/>
      </w:r>
    </w:p>
    <w:p w14:paraId="01AA67A2">
      <w:pPr>
        <w:pStyle w:val="21"/>
        <w:tabs>
          <w:tab w:val="right" w:leader="dot" w:pos="9000"/>
        </w:tabs>
      </w:pPr>
      <w:r>
        <w:fldChar w:fldCharType="begin"/>
      </w:r>
      <w:r>
        <w:instrText xml:space="preserve"> HYPERLINK \l "__RefHeading___91839" </w:instrText>
      </w:r>
      <w:r>
        <w:fldChar w:fldCharType="separate"/>
      </w:r>
      <w:r>
        <w:t>Chapter II</w:t>
      </w:r>
      <w:r>
        <w:tab/>
      </w:r>
      <w:r>
        <w:fldChar w:fldCharType="begin"/>
      </w:r>
      <w:r>
        <w:instrText xml:space="preserve">PAGEREF __RefHeading___91839 \h</w:instrText>
      </w:r>
      <w:r>
        <w:fldChar w:fldCharType="separate"/>
      </w:r>
      <w:r>
        <w:t>17</w:t>
      </w:r>
      <w:r>
        <w:fldChar w:fldCharType="end"/>
      </w:r>
      <w:r>
        <w:fldChar w:fldCharType="end"/>
      </w:r>
    </w:p>
    <w:p w14:paraId="60AC2F9D">
      <w:pPr>
        <w:pStyle w:val="21"/>
        <w:tabs>
          <w:tab w:val="right" w:leader="dot" w:pos="9000"/>
        </w:tabs>
      </w:pPr>
      <w:r>
        <w:fldChar w:fldCharType="begin"/>
      </w:r>
      <w:r>
        <w:instrText xml:space="preserve"> HYPERLINK \l "__RefHeading___91840" </w:instrText>
      </w:r>
      <w:r>
        <w:fldChar w:fldCharType="separate"/>
      </w:r>
      <w:r>
        <w:t>Literature Review</w:t>
      </w:r>
      <w:r>
        <w:tab/>
      </w:r>
      <w:r>
        <w:fldChar w:fldCharType="begin"/>
      </w:r>
      <w:r>
        <w:instrText xml:space="preserve">PAGEREF __RefHeading___91840 \h</w:instrText>
      </w:r>
      <w:r>
        <w:fldChar w:fldCharType="separate"/>
      </w:r>
      <w:r>
        <w:t>17</w:t>
      </w:r>
      <w:r>
        <w:fldChar w:fldCharType="end"/>
      </w:r>
      <w:r>
        <w:fldChar w:fldCharType="end"/>
      </w:r>
    </w:p>
    <w:p w14:paraId="7A2D7933">
      <w:pPr>
        <w:pStyle w:val="21"/>
        <w:tabs>
          <w:tab w:val="right" w:leader="dot" w:pos="9000"/>
        </w:tabs>
      </w:pPr>
      <w:r>
        <w:fldChar w:fldCharType="begin"/>
      </w:r>
      <w:r>
        <w:instrText xml:space="preserve"> HYPERLINK \l "__RefHeading___91841" </w:instrText>
      </w:r>
      <w:r>
        <w:fldChar w:fldCharType="separate"/>
      </w:r>
      <w:r>
        <w:t>__________________________________________________</w:t>
      </w:r>
      <w:r>
        <w:tab/>
      </w:r>
      <w:r>
        <w:fldChar w:fldCharType="begin"/>
      </w:r>
      <w:r>
        <w:instrText xml:space="preserve">PAGEREF __RefHeading___91841 \h</w:instrText>
      </w:r>
      <w:r>
        <w:fldChar w:fldCharType="separate"/>
      </w:r>
      <w:r>
        <w:t>17</w:t>
      </w:r>
      <w:r>
        <w:fldChar w:fldCharType="end"/>
      </w:r>
      <w:r>
        <w:fldChar w:fldCharType="end"/>
      </w:r>
    </w:p>
    <w:p w14:paraId="3FD71FDD">
      <w:pPr>
        <w:pStyle w:val="22"/>
        <w:tabs>
          <w:tab w:val="right" w:leader="dot" w:pos="9000"/>
        </w:tabs>
      </w:pPr>
      <w:r>
        <w:fldChar w:fldCharType="begin"/>
      </w:r>
      <w:r>
        <w:instrText xml:space="preserve"> HYPERLINK \l "__RefHeading___91842" </w:instrText>
      </w:r>
      <w:r>
        <w:fldChar w:fldCharType="separate"/>
      </w:r>
      <w:r>
        <w:t>2.1 Introduction</w:t>
      </w:r>
      <w:r>
        <w:tab/>
      </w:r>
      <w:r>
        <w:fldChar w:fldCharType="begin"/>
      </w:r>
      <w:r>
        <w:instrText xml:space="preserve">PAGEREF __RefHeading___91842 \h</w:instrText>
      </w:r>
      <w:r>
        <w:fldChar w:fldCharType="separate"/>
      </w:r>
      <w:r>
        <w:t>17</w:t>
      </w:r>
      <w:r>
        <w:fldChar w:fldCharType="end"/>
      </w:r>
      <w:r>
        <w:fldChar w:fldCharType="end"/>
      </w:r>
    </w:p>
    <w:p w14:paraId="2B2D59DF">
      <w:pPr>
        <w:pStyle w:val="22"/>
        <w:tabs>
          <w:tab w:val="right" w:leader="dot" w:pos="9000"/>
        </w:tabs>
      </w:pPr>
      <w:r>
        <w:fldChar w:fldCharType="begin"/>
      </w:r>
      <w:r>
        <w:instrText xml:space="preserve"> HYPERLINK \l "__RefHeading___91843" </w:instrText>
      </w:r>
      <w:r>
        <w:fldChar w:fldCharType="separate"/>
      </w:r>
      <w:r>
        <w:t>2.2 Psoriasis: Pathophysiology and Systemic Implications</w:t>
      </w:r>
      <w:r>
        <w:tab/>
      </w:r>
      <w:r>
        <w:fldChar w:fldCharType="begin"/>
      </w:r>
      <w:r>
        <w:instrText xml:space="preserve">PAGEREF __RefHeading___91843 \h</w:instrText>
      </w:r>
      <w:r>
        <w:fldChar w:fldCharType="separate"/>
      </w:r>
      <w:r>
        <w:t>17</w:t>
      </w:r>
      <w:r>
        <w:fldChar w:fldCharType="end"/>
      </w:r>
      <w:r>
        <w:fldChar w:fldCharType="end"/>
      </w:r>
    </w:p>
    <w:p w14:paraId="0DF18B5D">
      <w:pPr>
        <w:pStyle w:val="23"/>
        <w:tabs>
          <w:tab w:val="right" w:leader="dot" w:pos="9000"/>
        </w:tabs>
      </w:pPr>
      <w:r>
        <w:fldChar w:fldCharType="begin"/>
      </w:r>
      <w:r>
        <w:instrText xml:space="preserve"> HYPERLINK \l "__RefHeading___91844" </w:instrText>
      </w:r>
      <w:r>
        <w:fldChar w:fldCharType="separate"/>
      </w:r>
      <w:r>
        <w:t>2.2.1 Epidemiology and Clinical Features</w:t>
      </w:r>
      <w:r>
        <w:tab/>
      </w:r>
      <w:r>
        <w:fldChar w:fldCharType="begin"/>
      </w:r>
      <w:r>
        <w:instrText xml:space="preserve">PAGEREF __RefHeading___91844 \h</w:instrText>
      </w:r>
      <w:r>
        <w:fldChar w:fldCharType="separate"/>
      </w:r>
      <w:r>
        <w:t>17</w:t>
      </w:r>
      <w:r>
        <w:fldChar w:fldCharType="end"/>
      </w:r>
      <w:r>
        <w:fldChar w:fldCharType="end"/>
      </w:r>
    </w:p>
    <w:p w14:paraId="061673BB">
      <w:pPr>
        <w:pStyle w:val="23"/>
        <w:tabs>
          <w:tab w:val="right" w:leader="dot" w:pos="9000"/>
        </w:tabs>
      </w:pPr>
      <w:r>
        <w:fldChar w:fldCharType="begin"/>
      </w:r>
      <w:r>
        <w:instrText xml:space="preserve"> HYPERLINK \l "__RefHeading___91845" </w:instrText>
      </w:r>
      <w:r>
        <w:fldChar w:fldCharType="separate"/>
      </w:r>
      <w:r>
        <w:t>2.2.2 Immunopathogenesis</w:t>
      </w:r>
      <w:r>
        <w:tab/>
      </w:r>
      <w:r>
        <w:fldChar w:fldCharType="begin"/>
      </w:r>
      <w:r>
        <w:instrText xml:space="preserve">PAGEREF __RefHeading___91845 \h</w:instrText>
      </w:r>
      <w:r>
        <w:fldChar w:fldCharType="separate"/>
      </w:r>
      <w:r>
        <w:t>18</w:t>
      </w:r>
      <w:r>
        <w:fldChar w:fldCharType="end"/>
      </w:r>
      <w:r>
        <w:fldChar w:fldCharType="end"/>
      </w:r>
    </w:p>
    <w:p w14:paraId="25C3ADC6">
      <w:pPr>
        <w:pStyle w:val="23"/>
        <w:tabs>
          <w:tab w:val="right" w:leader="dot" w:pos="9000"/>
        </w:tabs>
      </w:pPr>
      <w:r>
        <w:fldChar w:fldCharType="begin"/>
      </w:r>
      <w:r>
        <w:instrText xml:space="preserve"> HYPERLINK \l "__RefHeading___91846" </w:instrText>
      </w:r>
      <w:r>
        <w:fldChar w:fldCharType="separate"/>
      </w:r>
      <w:r>
        <w:t>2.2.3 Psoriasis as a Systemic Disease: Comorbidity Burden</w:t>
      </w:r>
      <w:r>
        <w:tab/>
      </w:r>
      <w:r>
        <w:fldChar w:fldCharType="begin"/>
      </w:r>
      <w:r>
        <w:instrText xml:space="preserve">PAGEREF __RefHeading___91846 \h</w:instrText>
      </w:r>
      <w:r>
        <w:fldChar w:fldCharType="separate"/>
      </w:r>
      <w:r>
        <w:t>19</w:t>
      </w:r>
      <w:r>
        <w:fldChar w:fldCharType="end"/>
      </w:r>
      <w:r>
        <w:fldChar w:fldCharType="end"/>
      </w:r>
    </w:p>
    <w:p w14:paraId="7633964E">
      <w:pPr>
        <w:pStyle w:val="22"/>
        <w:tabs>
          <w:tab w:val="right" w:leader="dot" w:pos="9000"/>
        </w:tabs>
      </w:pPr>
      <w:r>
        <w:fldChar w:fldCharType="begin"/>
      </w:r>
      <w:r>
        <w:instrText xml:space="preserve"> HYPERLINK \l "__RefHeading___91847" </w:instrText>
      </w:r>
      <w:r>
        <w:fldChar w:fldCharType="separate"/>
      </w:r>
      <w:r>
        <w:t>2.3 Metabolic Syndrome: Definition, Epidemiology, and Pathophysiology</w:t>
      </w:r>
      <w:r>
        <w:tab/>
      </w:r>
      <w:r>
        <w:fldChar w:fldCharType="begin"/>
      </w:r>
      <w:r>
        <w:instrText xml:space="preserve">PAGEREF __RefHeading___91847 \h</w:instrText>
      </w:r>
      <w:r>
        <w:fldChar w:fldCharType="separate"/>
      </w:r>
      <w:r>
        <w:t>20</w:t>
      </w:r>
      <w:r>
        <w:fldChar w:fldCharType="end"/>
      </w:r>
      <w:r>
        <w:fldChar w:fldCharType="end"/>
      </w:r>
    </w:p>
    <w:p w14:paraId="4DB261DE">
      <w:pPr>
        <w:pStyle w:val="23"/>
        <w:tabs>
          <w:tab w:val="right" w:leader="dot" w:pos="9000"/>
        </w:tabs>
      </w:pPr>
      <w:r>
        <w:fldChar w:fldCharType="begin"/>
      </w:r>
      <w:r>
        <w:instrText xml:space="preserve"> HYPERLINK \l "__RefHeading___91848" </w:instrText>
      </w:r>
      <w:r>
        <w:fldChar w:fldCharType="separate"/>
      </w:r>
      <w:r>
        <w:t>2.3.1 Diagnostic Criteria</w:t>
      </w:r>
      <w:r>
        <w:tab/>
      </w:r>
      <w:r>
        <w:fldChar w:fldCharType="begin"/>
      </w:r>
      <w:r>
        <w:instrText xml:space="preserve">PAGEREF __RefHeading___91848 \h</w:instrText>
      </w:r>
      <w:r>
        <w:fldChar w:fldCharType="separate"/>
      </w:r>
      <w:r>
        <w:t>20</w:t>
      </w:r>
      <w:r>
        <w:fldChar w:fldCharType="end"/>
      </w:r>
      <w:r>
        <w:fldChar w:fldCharType="end"/>
      </w:r>
    </w:p>
    <w:p w14:paraId="7A0F1E2E">
      <w:pPr>
        <w:pStyle w:val="23"/>
        <w:tabs>
          <w:tab w:val="right" w:leader="dot" w:pos="9000"/>
        </w:tabs>
      </w:pPr>
      <w:r>
        <w:fldChar w:fldCharType="begin"/>
      </w:r>
      <w:r>
        <w:instrText xml:space="preserve"> HYPERLINK \l "__RefHeading___91849" </w:instrText>
      </w:r>
      <w:r>
        <w:fldChar w:fldCharType="separate"/>
      </w:r>
      <w:r>
        <w:t>2.3.2 Global and Regional Epidemiology</w:t>
      </w:r>
      <w:r>
        <w:tab/>
      </w:r>
      <w:r>
        <w:fldChar w:fldCharType="begin"/>
      </w:r>
      <w:r>
        <w:instrText xml:space="preserve">PAGEREF __RefHeading___91849 \h</w:instrText>
      </w:r>
      <w:r>
        <w:fldChar w:fldCharType="separate"/>
      </w:r>
      <w:r>
        <w:t>20</w:t>
      </w:r>
      <w:r>
        <w:fldChar w:fldCharType="end"/>
      </w:r>
      <w:r>
        <w:fldChar w:fldCharType="end"/>
      </w:r>
    </w:p>
    <w:p w14:paraId="22EAD754">
      <w:pPr>
        <w:pStyle w:val="23"/>
        <w:tabs>
          <w:tab w:val="right" w:leader="dot" w:pos="9000"/>
        </w:tabs>
      </w:pPr>
      <w:r>
        <w:fldChar w:fldCharType="begin"/>
      </w:r>
      <w:r>
        <w:instrText xml:space="preserve"> HYPERLINK \l "__RefHeading___91850" </w:instrText>
      </w:r>
      <w:r>
        <w:fldChar w:fldCharType="separate"/>
      </w:r>
      <w:r>
        <w:t>2.3.3 Pathophysiological Mechanisms</w:t>
      </w:r>
      <w:r>
        <w:tab/>
      </w:r>
      <w:r>
        <w:fldChar w:fldCharType="begin"/>
      </w:r>
      <w:r>
        <w:instrText xml:space="preserve">PAGEREF __RefHeading___91850 \h</w:instrText>
      </w:r>
      <w:r>
        <w:fldChar w:fldCharType="separate"/>
      </w:r>
      <w:r>
        <w:t>21</w:t>
      </w:r>
      <w:r>
        <w:fldChar w:fldCharType="end"/>
      </w:r>
      <w:r>
        <w:fldChar w:fldCharType="end"/>
      </w:r>
    </w:p>
    <w:p w14:paraId="7D41DB63">
      <w:pPr>
        <w:pStyle w:val="22"/>
        <w:tabs>
          <w:tab w:val="right" w:leader="dot" w:pos="9000"/>
        </w:tabs>
      </w:pPr>
      <w:r>
        <w:fldChar w:fldCharType="begin"/>
      </w:r>
      <w:r>
        <w:instrText xml:space="preserve"> HYPERLINK \l "__RefHeading___91851" </w:instrText>
      </w:r>
      <w:r>
        <w:fldChar w:fldCharType="separate"/>
      </w:r>
      <w:r>
        <w:t>2.4 The Association Between Psoriasis and Metabolic Syndrome</w:t>
      </w:r>
      <w:r>
        <w:tab/>
      </w:r>
      <w:r>
        <w:fldChar w:fldCharType="begin"/>
      </w:r>
      <w:r>
        <w:instrText xml:space="preserve">PAGEREF __RefHeading___91851 \h</w:instrText>
      </w:r>
      <w:r>
        <w:fldChar w:fldCharType="separate"/>
      </w:r>
      <w:r>
        <w:t>21</w:t>
      </w:r>
      <w:r>
        <w:fldChar w:fldCharType="end"/>
      </w:r>
      <w:r>
        <w:fldChar w:fldCharType="end"/>
      </w:r>
    </w:p>
    <w:p w14:paraId="0361C7FA">
      <w:pPr>
        <w:pStyle w:val="23"/>
        <w:tabs>
          <w:tab w:val="right" w:leader="dot" w:pos="9000"/>
        </w:tabs>
      </w:pPr>
      <w:r>
        <w:fldChar w:fldCharType="begin"/>
      </w:r>
      <w:r>
        <w:instrText xml:space="preserve"> HYPERLINK \l "__RefHeading___91852" </w:instrText>
      </w:r>
      <w:r>
        <w:fldChar w:fldCharType="separate"/>
      </w:r>
      <w:r>
        <w:t>2.4.1 Global Evidence</w:t>
      </w:r>
      <w:r>
        <w:tab/>
      </w:r>
      <w:r>
        <w:fldChar w:fldCharType="begin"/>
      </w:r>
      <w:r>
        <w:instrText xml:space="preserve">PAGEREF __RefHeading___91852 \h</w:instrText>
      </w:r>
      <w:r>
        <w:fldChar w:fldCharType="separate"/>
      </w:r>
      <w:r>
        <w:t>21</w:t>
      </w:r>
      <w:r>
        <w:fldChar w:fldCharType="end"/>
      </w:r>
      <w:r>
        <w:fldChar w:fldCharType="end"/>
      </w:r>
    </w:p>
    <w:p w14:paraId="151C0C05">
      <w:pPr>
        <w:pStyle w:val="23"/>
        <w:tabs>
          <w:tab w:val="right" w:leader="dot" w:pos="9000"/>
        </w:tabs>
      </w:pPr>
      <w:r>
        <w:fldChar w:fldCharType="begin"/>
      </w:r>
      <w:r>
        <w:instrText xml:space="preserve"> HYPERLINK \l "__RefHeading___91853" </w:instrText>
      </w:r>
      <w:r>
        <w:fldChar w:fldCharType="separate"/>
      </w:r>
      <w:r>
        <w:t>2.4.2 Regional Evidence — South Asia and Central Asia</w:t>
      </w:r>
      <w:r>
        <w:tab/>
      </w:r>
      <w:r>
        <w:fldChar w:fldCharType="begin"/>
      </w:r>
      <w:r>
        <w:instrText xml:space="preserve">PAGEREF __RefHeading___91853 \h</w:instrText>
      </w:r>
      <w:r>
        <w:fldChar w:fldCharType="separate"/>
      </w:r>
      <w:r>
        <w:t>22</w:t>
      </w:r>
      <w:r>
        <w:fldChar w:fldCharType="end"/>
      </w:r>
      <w:r>
        <w:fldChar w:fldCharType="end"/>
      </w:r>
    </w:p>
    <w:p w14:paraId="664197E3">
      <w:pPr>
        <w:pStyle w:val="23"/>
        <w:tabs>
          <w:tab w:val="right" w:leader="dot" w:pos="9000"/>
        </w:tabs>
      </w:pPr>
      <w:r>
        <w:fldChar w:fldCharType="begin"/>
      </w:r>
      <w:r>
        <w:instrText xml:space="preserve"> HYPERLINK \l "__RefHeading___91854" </w:instrText>
      </w:r>
      <w:r>
        <w:fldChar w:fldCharType="separate"/>
      </w:r>
      <w:r>
        <w:t>2.4.3 Individual Components of Metabolic Syndrome in Psoriasis</w:t>
      </w:r>
      <w:r>
        <w:tab/>
      </w:r>
      <w:r>
        <w:fldChar w:fldCharType="begin"/>
      </w:r>
      <w:r>
        <w:instrText xml:space="preserve">PAGEREF __RefHeading___91854 \h</w:instrText>
      </w:r>
      <w:r>
        <w:fldChar w:fldCharType="separate"/>
      </w:r>
      <w:r>
        <w:t>22</w:t>
      </w:r>
      <w:r>
        <w:fldChar w:fldCharType="end"/>
      </w:r>
      <w:r>
        <w:fldChar w:fldCharType="end"/>
      </w:r>
    </w:p>
    <w:p w14:paraId="239210DF">
      <w:pPr>
        <w:pStyle w:val="23"/>
        <w:tabs>
          <w:tab w:val="right" w:leader="dot" w:pos="9000"/>
        </w:tabs>
      </w:pPr>
      <w:r>
        <w:fldChar w:fldCharType="begin"/>
      </w:r>
      <w:r>
        <w:instrText xml:space="preserve"> HYPERLINK \l "__RefHeading___91855" </w:instrText>
      </w:r>
      <w:r>
        <w:fldChar w:fldCharType="separate"/>
      </w:r>
      <w:r>
        <w:t>2.4.4 The Dose-Response Relationship and Causal Inference</w:t>
      </w:r>
      <w:r>
        <w:tab/>
      </w:r>
      <w:r>
        <w:fldChar w:fldCharType="begin"/>
      </w:r>
      <w:r>
        <w:instrText xml:space="preserve">PAGEREF __RefHeading___91855 \h</w:instrText>
      </w:r>
      <w:r>
        <w:fldChar w:fldCharType="separate"/>
      </w:r>
      <w:r>
        <w:t>23</w:t>
      </w:r>
      <w:r>
        <w:fldChar w:fldCharType="end"/>
      </w:r>
      <w:r>
        <w:fldChar w:fldCharType="end"/>
      </w:r>
    </w:p>
    <w:p w14:paraId="00010035">
      <w:pPr>
        <w:pStyle w:val="22"/>
        <w:tabs>
          <w:tab w:val="right" w:leader="dot" w:pos="9000"/>
        </w:tabs>
      </w:pPr>
      <w:r>
        <w:fldChar w:fldCharType="begin"/>
      </w:r>
      <w:r>
        <w:instrText xml:space="preserve"> HYPERLINK \l "__RefHeading___91856" </w:instrText>
      </w:r>
      <w:r>
        <w:fldChar w:fldCharType="separate"/>
      </w:r>
      <w:r>
        <w:t>2.5 The Role of Psoriatic Arthritis</w:t>
      </w:r>
      <w:r>
        <w:tab/>
      </w:r>
      <w:r>
        <w:fldChar w:fldCharType="begin"/>
      </w:r>
      <w:r>
        <w:instrText xml:space="preserve">PAGEREF __RefHeading___91856 \h</w:instrText>
      </w:r>
      <w:r>
        <w:fldChar w:fldCharType="separate"/>
      </w:r>
      <w:r>
        <w:t>24</w:t>
      </w:r>
      <w:r>
        <w:fldChar w:fldCharType="end"/>
      </w:r>
      <w:r>
        <w:fldChar w:fldCharType="end"/>
      </w:r>
    </w:p>
    <w:p w14:paraId="5F8E81E5">
      <w:pPr>
        <w:pStyle w:val="22"/>
        <w:tabs>
          <w:tab w:val="right" w:leader="dot" w:pos="9000"/>
        </w:tabs>
      </w:pPr>
      <w:r>
        <w:fldChar w:fldCharType="begin"/>
      </w:r>
      <w:r>
        <w:instrText xml:space="preserve"> HYPERLINK \l "__RefHeading___91857" </w:instrText>
      </w:r>
      <w:r>
        <w:fldChar w:fldCharType="separate"/>
      </w:r>
      <w:r>
        <w:t>2.6 The Psychosocial Dimension and Its Metabolic Consequences</w:t>
      </w:r>
      <w:r>
        <w:tab/>
      </w:r>
      <w:r>
        <w:fldChar w:fldCharType="begin"/>
      </w:r>
      <w:r>
        <w:instrText xml:space="preserve">PAGEREF __RefHeading___91857 \h</w:instrText>
      </w:r>
      <w:r>
        <w:fldChar w:fldCharType="separate"/>
      </w:r>
      <w:r>
        <w:t>24</w:t>
      </w:r>
      <w:r>
        <w:fldChar w:fldCharType="end"/>
      </w:r>
      <w:r>
        <w:fldChar w:fldCharType="end"/>
      </w:r>
    </w:p>
    <w:p w14:paraId="6E3D50A4">
      <w:pPr>
        <w:pStyle w:val="22"/>
        <w:tabs>
          <w:tab w:val="right" w:leader="dot" w:pos="9000"/>
        </w:tabs>
      </w:pPr>
      <w:r>
        <w:fldChar w:fldCharType="begin"/>
      </w:r>
      <w:r>
        <w:instrText xml:space="preserve"> HYPERLINK \l "__RefHeading___91858" </w:instrText>
      </w:r>
      <w:r>
        <w:fldChar w:fldCharType="separate"/>
      </w:r>
      <w:r>
        <w:t>2.7 The Evidential Gap: Afghanistan</w:t>
      </w:r>
      <w:r>
        <w:tab/>
      </w:r>
      <w:r>
        <w:fldChar w:fldCharType="begin"/>
      </w:r>
      <w:r>
        <w:instrText xml:space="preserve">PAGEREF __RefHeading___91858 \h</w:instrText>
      </w:r>
      <w:r>
        <w:fldChar w:fldCharType="separate"/>
      </w:r>
      <w:r>
        <w:t>25</w:t>
      </w:r>
      <w:r>
        <w:fldChar w:fldCharType="end"/>
      </w:r>
      <w:r>
        <w:fldChar w:fldCharType="end"/>
      </w:r>
    </w:p>
    <w:p w14:paraId="2DA3C635">
      <w:pPr>
        <w:pStyle w:val="21"/>
        <w:tabs>
          <w:tab w:val="right" w:leader="dot" w:pos="9000"/>
        </w:tabs>
      </w:pPr>
      <w:r>
        <w:fldChar w:fldCharType="begin"/>
      </w:r>
      <w:r>
        <w:instrText xml:space="preserve"> HYPERLINK \l "__RefHeading___91859" </w:instrText>
      </w:r>
      <w:r>
        <w:fldChar w:fldCharType="separate"/>
      </w:r>
      <w:r>
        <w:t>Chapter III</w:t>
      </w:r>
      <w:r>
        <w:tab/>
      </w:r>
      <w:r>
        <w:fldChar w:fldCharType="begin"/>
      </w:r>
      <w:r>
        <w:instrText xml:space="preserve">PAGEREF __RefHeading___91859 \h</w:instrText>
      </w:r>
      <w:r>
        <w:fldChar w:fldCharType="separate"/>
      </w:r>
      <w:r>
        <w:t>27</w:t>
      </w:r>
      <w:r>
        <w:fldChar w:fldCharType="end"/>
      </w:r>
      <w:r>
        <w:fldChar w:fldCharType="end"/>
      </w:r>
    </w:p>
    <w:p w14:paraId="6F2D591F">
      <w:pPr>
        <w:pStyle w:val="21"/>
        <w:tabs>
          <w:tab w:val="right" w:leader="dot" w:pos="9000"/>
        </w:tabs>
      </w:pPr>
      <w:r>
        <w:fldChar w:fldCharType="begin"/>
      </w:r>
      <w:r>
        <w:instrText xml:space="preserve"> HYPERLINK \l "__RefHeading___91860" </w:instrText>
      </w:r>
      <w:r>
        <w:fldChar w:fldCharType="separate"/>
      </w:r>
      <w:r>
        <w:t>Research Methodology</w:t>
      </w:r>
      <w:r>
        <w:tab/>
      </w:r>
      <w:r>
        <w:fldChar w:fldCharType="begin"/>
      </w:r>
      <w:r>
        <w:instrText xml:space="preserve">PAGEREF __RefHeading___91860 \h</w:instrText>
      </w:r>
      <w:r>
        <w:fldChar w:fldCharType="separate"/>
      </w:r>
      <w:r>
        <w:t>27</w:t>
      </w:r>
      <w:r>
        <w:fldChar w:fldCharType="end"/>
      </w:r>
      <w:r>
        <w:fldChar w:fldCharType="end"/>
      </w:r>
    </w:p>
    <w:p w14:paraId="67864BC4">
      <w:pPr>
        <w:pStyle w:val="21"/>
        <w:tabs>
          <w:tab w:val="right" w:leader="dot" w:pos="9000"/>
        </w:tabs>
      </w:pPr>
      <w:r>
        <w:fldChar w:fldCharType="begin"/>
      </w:r>
      <w:r>
        <w:instrText xml:space="preserve"> HYPERLINK \l "__RefHeading___91861" </w:instrText>
      </w:r>
      <w:r>
        <w:fldChar w:fldCharType="separate"/>
      </w:r>
      <w:r>
        <w:t>__________________________________________________</w:t>
      </w:r>
      <w:r>
        <w:tab/>
      </w:r>
      <w:r>
        <w:fldChar w:fldCharType="begin"/>
      </w:r>
      <w:r>
        <w:instrText xml:space="preserve">PAGEREF __RefHeading___91861 \h</w:instrText>
      </w:r>
      <w:r>
        <w:fldChar w:fldCharType="separate"/>
      </w:r>
      <w:r>
        <w:t>27</w:t>
      </w:r>
      <w:r>
        <w:fldChar w:fldCharType="end"/>
      </w:r>
      <w:r>
        <w:fldChar w:fldCharType="end"/>
      </w:r>
    </w:p>
    <w:p w14:paraId="3C29476D">
      <w:pPr>
        <w:pStyle w:val="22"/>
        <w:tabs>
          <w:tab w:val="right" w:leader="dot" w:pos="9000"/>
        </w:tabs>
      </w:pPr>
      <w:r>
        <w:fldChar w:fldCharType="begin"/>
      </w:r>
      <w:r>
        <w:instrText xml:space="preserve"> HYPERLINK \l "__RefHeading___91862" </w:instrText>
      </w:r>
      <w:r>
        <w:fldChar w:fldCharType="separate"/>
      </w:r>
      <w:r>
        <w:t>3.1 Study Design</w:t>
      </w:r>
      <w:r>
        <w:tab/>
      </w:r>
      <w:r>
        <w:fldChar w:fldCharType="begin"/>
      </w:r>
      <w:r>
        <w:instrText xml:space="preserve">PAGEREF __RefHeading___91862 \h</w:instrText>
      </w:r>
      <w:r>
        <w:fldChar w:fldCharType="separate"/>
      </w:r>
      <w:r>
        <w:t>27</w:t>
      </w:r>
      <w:r>
        <w:fldChar w:fldCharType="end"/>
      </w:r>
      <w:r>
        <w:fldChar w:fldCharType="end"/>
      </w:r>
    </w:p>
    <w:p w14:paraId="3CDEDB7C">
      <w:pPr>
        <w:pStyle w:val="22"/>
        <w:tabs>
          <w:tab w:val="right" w:leader="dot" w:pos="9000"/>
        </w:tabs>
      </w:pPr>
      <w:r>
        <w:fldChar w:fldCharType="begin"/>
      </w:r>
      <w:r>
        <w:instrText xml:space="preserve"> HYPERLINK \l "__RefHeading___91863" </w:instrText>
      </w:r>
      <w:r>
        <w:fldChar w:fldCharType="separate"/>
      </w:r>
      <w:r>
        <w:t>3.2 Study Setting</w:t>
      </w:r>
      <w:r>
        <w:tab/>
      </w:r>
      <w:r>
        <w:fldChar w:fldCharType="begin"/>
      </w:r>
      <w:r>
        <w:instrText xml:space="preserve">PAGEREF __RefHeading___91863 \h</w:instrText>
      </w:r>
      <w:r>
        <w:fldChar w:fldCharType="separate"/>
      </w:r>
      <w:r>
        <w:t>27</w:t>
      </w:r>
      <w:r>
        <w:fldChar w:fldCharType="end"/>
      </w:r>
      <w:r>
        <w:fldChar w:fldCharType="end"/>
      </w:r>
    </w:p>
    <w:p w14:paraId="66C19B64">
      <w:pPr>
        <w:pStyle w:val="22"/>
        <w:tabs>
          <w:tab w:val="right" w:leader="dot" w:pos="9000"/>
        </w:tabs>
      </w:pPr>
      <w:r>
        <w:fldChar w:fldCharType="begin"/>
      </w:r>
      <w:r>
        <w:instrText xml:space="preserve"> HYPERLINK \l "__RefHeading___91864" </w:instrText>
      </w:r>
      <w:r>
        <w:fldChar w:fldCharType="separate"/>
      </w:r>
      <w:r>
        <w:t>3.3 Study Period</w:t>
      </w:r>
      <w:r>
        <w:tab/>
      </w:r>
      <w:r>
        <w:fldChar w:fldCharType="begin"/>
      </w:r>
      <w:r>
        <w:instrText xml:space="preserve">PAGEREF __RefHeading___91864 \h</w:instrText>
      </w:r>
      <w:r>
        <w:fldChar w:fldCharType="separate"/>
      </w:r>
      <w:r>
        <w:t>27</w:t>
      </w:r>
      <w:r>
        <w:fldChar w:fldCharType="end"/>
      </w:r>
      <w:r>
        <w:fldChar w:fldCharType="end"/>
      </w:r>
    </w:p>
    <w:p w14:paraId="6D9B7B95">
      <w:pPr>
        <w:pStyle w:val="22"/>
        <w:tabs>
          <w:tab w:val="right" w:leader="dot" w:pos="9000"/>
        </w:tabs>
      </w:pPr>
      <w:r>
        <w:fldChar w:fldCharType="begin"/>
      </w:r>
      <w:r>
        <w:instrText xml:space="preserve"> HYPERLINK \l "__RefHeading___91865" </w:instrText>
      </w:r>
      <w:r>
        <w:fldChar w:fldCharType="separate"/>
      </w:r>
      <w:r>
        <w:t>3.4 Study Population</w:t>
      </w:r>
      <w:r>
        <w:tab/>
      </w:r>
      <w:r>
        <w:fldChar w:fldCharType="begin"/>
      </w:r>
      <w:r>
        <w:instrText xml:space="preserve">PAGEREF __RefHeading___91865 \h</w:instrText>
      </w:r>
      <w:r>
        <w:fldChar w:fldCharType="separate"/>
      </w:r>
      <w:r>
        <w:t>28</w:t>
      </w:r>
      <w:r>
        <w:fldChar w:fldCharType="end"/>
      </w:r>
      <w:r>
        <w:fldChar w:fldCharType="end"/>
      </w:r>
    </w:p>
    <w:p w14:paraId="62559775">
      <w:pPr>
        <w:pStyle w:val="22"/>
        <w:tabs>
          <w:tab w:val="right" w:leader="dot" w:pos="9000"/>
        </w:tabs>
      </w:pPr>
      <w:r>
        <w:fldChar w:fldCharType="begin"/>
      </w:r>
      <w:r>
        <w:instrText xml:space="preserve"> HYPERLINK \l "__RefHeading___91866" </w:instrText>
      </w:r>
      <w:r>
        <w:fldChar w:fldCharType="separate"/>
      </w:r>
      <w:r>
        <w:t>3.5 Sample Size Calculation</w:t>
      </w:r>
      <w:r>
        <w:tab/>
      </w:r>
      <w:r>
        <w:fldChar w:fldCharType="begin"/>
      </w:r>
      <w:r>
        <w:instrText xml:space="preserve">PAGEREF __RefHeading___91866 \h</w:instrText>
      </w:r>
      <w:r>
        <w:fldChar w:fldCharType="separate"/>
      </w:r>
      <w:r>
        <w:t>28</w:t>
      </w:r>
      <w:r>
        <w:fldChar w:fldCharType="end"/>
      </w:r>
      <w:r>
        <w:fldChar w:fldCharType="end"/>
      </w:r>
    </w:p>
    <w:p w14:paraId="38D935AE">
      <w:pPr>
        <w:pStyle w:val="22"/>
        <w:tabs>
          <w:tab w:val="right" w:leader="dot" w:pos="9000"/>
        </w:tabs>
      </w:pPr>
      <w:r>
        <w:fldChar w:fldCharType="begin"/>
      </w:r>
      <w:r>
        <w:instrText xml:space="preserve"> HYPERLINK \l "__RefHeading___91867" </w:instrText>
      </w:r>
      <w:r>
        <w:fldChar w:fldCharType="separate"/>
      </w:r>
      <w:r>
        <w:t>3.6 Sampling Technique</w:t>
      </w:r>
      <w:r>
        <w:tab/>
      </w:r>
      <w:r>
        <w:fldChar w:fldCharType="begin"/>
      </w:r>
      <w:r>
        <w:instrText xml:space="preserve">PAGEREF __RefHeading___91867 \h</w:instrText>
      </w:r>
      <w:r>
        <w:fldChar w:fldCharType="separate"/>
      </w:r>
      <w:r>
        <w:t>29</w:t>
      </w:r>
      <w:r>
        <w:fldChar w:fldCharType="end"/>
      </w:r>
      <w:r>
        <w:fldChar w:fldCharType="end"/>
      </w:r>
    </w:p>
    <w:p w14:paraId="454EC0EE">
      <w:pPr>
        <w:pStyle w:val="22"/>
        <w:tabs>
          <w:tab w:val="right" w:leader="dot" w:pos="9000"/>
        </w:tabs>
      </w:pPr>
      <w:r>
        <w:fldChar w:fldCharType="begin"/>
      </w:r>
      <w:r>
        <w:instrText xml:space="preserve"> HYPERLINK \l "__RefHeading___91868" </w:instrText>
      </w:r>
      <w:r>
        <w:fldChar w:fldCharType="separate"/>
      </w:r>
      <w:r>
        <w:t>3.7 Inclusion and Exclusion Criteria</w:t>
      </w:r>
      <w:r>
        <w:tab/>
      </w:r>
      <w:r>
        <w:fldChar w:fldCharType="begin"/>
      </w:r>
      <w:r>
        <w:instrText xml:space="preserve">PAGEREF __RefHeading___91868 \h</w:instrText>
      </w:r>
      <w:r>
        <w:fldChar w:fldCharType="separate"/>
      </w:r>
      <w:r>
        <w:t>30</w:t>
      </w:r>
      <w:r>
        <w:fldChar w:fldCharType="end"/>
      </w:r>
      <w:r>
        <w:fldChar w:fldCharType="end"/>
      </w:r>
    </w:p>
    <w:p w14:paraId="705FB0F9">
      <w:pPr>
        <w:pStyle w:val="23"/>
        <w:tabs>
          <w:tab w:val="right" w:leader="dot" w:pos="9000"/>
        </w:tabs>
      </w:pPr>
      <w:r>
        <w:fldChar w:fldCharType="begin"/>
      </w:r>
      <w:r>
        <w:instrText xml:space="preserve"> HYPERLINK \l "__RefHeading___91869" </w:instrText>
      </w:r>
      <w:r>
        <w:fldChar w:fldCharType="separate"/>
      </w:r>
      <w:r>
        <w:t>3.7.1 Inclusion Criteria — Cases</w:t>
      </w:r>
      <w:r>
        <w:tab/>
      </w:r>
      <w:r>
        <w:fldChar w:fldCharType="begin"/>
      </w:r>
      <w:r>
        <w:instrText xml:space="preserve">PAGEREF __RefHeading___91869 \h</w:instrText>
      </w:r>
      <w:r>
        <w:fldChar w:fldCharType="separate"/>
      </w:r>
      <w:r>
        <w:t>30</w:t>
      </w:r>
      <w:r>
        <w:fldChar w:fldCharType="end"/>
      </w:r>
      <w:r>
        <w:fldChar w:fldCharType="end"/>
      </w:r>
    </w:p>
    <w:p w14:paraId="2F6B059F">
      <w:pPr>
        <w:pStyle w:val="23"/>
        <w:tabs>
          <w:tab w:val="right" w:leader="dot" w:pos="9000"/>
        </w:tabs>
      </w:pPr>
      <w:r>
        <w:fldChar w:fldCharType="begin"/>
      </w:r>
      <w:r>
        <w:instrText xml:space="preserve"> HYPERLINK \l "__RefHeading___91870" </w:instrText>
      </w:r>
      <w:r>
        <w:fldChar w:fldCharType="separate"/>
      </w:r>
      <w:r>
        <w:t>3.7.2 Inclusion Criteria — Controls</w:t>
      </w:r>
      <w:r>
        <w:tab/>
      </w:r>
      <w:r>
        <w:fldChar w:fldCharType="begin"/>
      </w:r>
      <w:r>
        <w:instrText xml:space="preserve">PAGEREF __RefHeading___91870 \h</w:instrText>
      </w:r>
      <w:r>
        <w:fldChar w:fldCharType="separate"/>
      </w:r>
      <w:r>
        <w:t>30</w:t>
      </w:r>
      <w:r>
        <w:fldChar w:fldCharType="end"/>
      </w:r>
      <w:r>
        <w:fldChar w:fldCharType="end"/>
      </w:r>
    </w:p>
    <w:p w14:paraId="1BC8E084">
      <w:pPr>
        <w:pStyle w:val="23"/>
        <w:tabs>
          <w:tab w:val="right" w:leader="dot" w:pos="9000"/>
        </w:tabs>
      </w:pPr>
      <w:r>
        <w:fldChar w:fldCharType="begin"/>
      </w:r>
      <w:r>
        <w:instrText xml:space="preserve"> HYPERLINK \l "__RefHeading___91871" </w:instrText>
      </w:r>
      <w:r>
        <w:fldChar w:fldCharType="separate"/>
      </w:r>
      <w:r>
        <w:t>3.7.3 Exclusion Criteria — Both Groups</w:t>
      </w:r>
      <w:r>
        <w:tab/>
      </w:r>
      <w:r>
        <w:fldChar w:fldCharType="begin"/>
      </w:r>
      <w:r>
        <w:instrText xml:space="preserve">PAGEREF __RefHeading___91871 \h</w:instrText>
      </w:r>
      <w:r>
        <w:fldChar w:fldCharType="separate"/>
      </w:r>
      <w:r>
        <w:t>30</w:t>
      </w:r>
      <w:r>
        <w:fldChar w:fldCharType="end"/>
      </w:r>
      <w:r>
        <w:fldChar w:fldCharType="end"/>
      </w:r>
    </w:p>
    <w:p w14:paraId="11655052">
      <w:pPr>
        <w:pStyle w:val="22"/>
        <w:tabs>
          <w:tab w:val="right" w:leader="dot" w:pos="9000"/>
        </w:tabs>
      </w:pPr>
      <w:r>
        <w:fldChar w:fldCharType="begin"/>
      </w:r>
      <w:r>
        <w:instrText xml:space="preserve"> HYPERLINK \l "__RefHeading___91872" </w:instrText>
      </w:r>
      <w:r>
        <w:fldChar w:fldCharType="separate"/>
      </w:r>
      <w:r>
        <w:t>3.8 Data Collection</w:t>
      </w:r>
      <w:r>
        <w:tab/>
      </w:r>
      <w:r>
        <w:fldChar w:fldCharType="begin"/>
      </w:r>
      <w:r>
        <w:instrText xml:space="preserve">PAGEREF __RefHeading___91872 \h</w:instrText>
      </w:r>
      <w:r>
        <w:fldChar w:fldCharType="separate"/>
      </w:r>
      <w:r>
        <w:t>31</w:t>
      </w:r>
      <w:r>
        <w:fldChar w:fldCharType="end"/>
      </w:r>
      <w:r>
        <w:fldChar w:fldCharType="end"/>
      </w:r>
    </w:p>
    <w:p w14:paraId="7C728CB7">
      <w:pPr>
        <w:pStyle w:val="23"/>
        <w:tabs>
          <w:tab w:val="right" w:leader="dot" w:pos="9000"/>
        </w:tabs>
      </w:pPr>
      <w:r>
        <w:fldChar w:fldCharType="begin"/>
      </w:r>
      <w:r>
        <w:instrText xml:space="preserve"> HYPERLINK \l "__RefHeading___91873" </w:instrText>
      </w:r>
      <w:r>
        <w:fldChar w:fldCharType="separate"/>
      </w:r>
      <w:r>
        <w:t>3.8.1 Structured Questionnaire</w:t>
      </w:r>
      <w:r>
        <w:tab/>
      </w:r>
      <w:r>
        <w:fldChar w:fldCharType="begin"/>
      </w:r>
      <w:r>
        <w:instrText xml:space="preserve">PAGEREF __RefHeading___91873 \h</w:instrText>
      </w:r>
      <w:r>
        <w:fldChar w:fldCharType="separate"/>
      </w:r>
      <w:r>
        <w:t>31</w:t>
      </w:r>
      <w:r>
        <w:fldChar w:fldCharType="end"/>
      </w:r>
      <w:r>
        <w:fldChar w:fldCharType="end"/>
      </w:r>
    </w:p>
    <w:p w14:paraId="0FE280C2">
      <w:pPr>
        <w:pStyle w:val="23"/>
        <w:tabs>
          <w:tab w:val="right" w:leader="dot" w:pos="9000"/>
        </w:tabs>
      </w:pPr>
      <w:r>
        <w:fldChar w:fldCharType="begin"/>
      </w:r>
      <w:r>
        <w:instrText xml:space="preserve"> HYPERLINK \l "__RefHeading___91874" </w:instrText>
      </w:r>
      <w:r>
        <w:fldChar w:fldCharType="separate"/>
      </w:r>
      <w:r>
        <w:t>3.8.2 Physical Examination</w:t>
      </w:r>
      <w:r>
        <w:tab/>
      </w:r>
      <w:r>
        <w:fldChar w:fldCharType="begin"/>
      </w:r>
      <w:r>
        <w:instrText xml:space="preserve">PAGEREF __RefHeading___91874 \h</w:instrText>
      </w:r>
      <w:r>
        <w:fldChar w:fldCharType="separate"/>
      </w:r>
      <w:r>
        <w:t>32</w:t>
      </w:r>
      <w:r>
        <w:fldChar w:fldCharType="end"/>
      </w:r>
      <w:r>
        <w:fldChar w:fldCharType="end"/>
      </w:r>
    </w:p>
    <w:p w14:paraId="0B369DE9">
      <w:pPr>
        <w:pStyle w:val="23"/>
        <w:tabs>
          <w:tab w:val="right" w:leader="dot" w:pos="9000"/>
        </w:tabs>
      </w:pPr>
      <w:r>
        <w:fldChar w:fldCharType="begin"/>
      </w:r>
      <w:r>
        <w:instrText xml:space="preserve"> HYPERLINK \l "__RefHeading___91875" </w:instrText>
      </w:r>
      <w:r>
        <w:fldChar w:fldCharType="separate"/>
      </w:r>
      <w:r>
        <w:t>3.8.3 PASI Assessment</w:t>
      </w:r>
      <w:r>
        <w:tab/>
      </w:r>
      <w:r>
        <w:fldChar w:fldCharType="begin"/>
      </w:r>
      <w:r>
        <w:instrText xml:space="preserve">PAGEREF __RefHeading___91875 \h</w:instrText>
      </w:r>
      <w:r>
        <w:fldChar w:fldCharType="separate"/>
      </w:r>
      <w:r>
        <w:t>32</w:t>
      </w:r>
      <w:r>
        <w:fldChar w:fldCharType="end"/>
      </w:r>
      <w:r>
        <w:fldChar w:fldCharType="end"/>
      </w:r>
    </w:p>
    <w:p w14:paraId="77E76D65">
      <w:pPr>
        <w:pStyle w:val="23"/>
        <w:tabs>
          <w:tab w:val="right" w:leader="dot" w:pos="9000"/>
        </w:tabs>
      </w:pPr>
      <w:r>
        <w:fldChar w:fldCharType="begin"/>
      </w:r>
      <w:r>
        <w:instrText xml:space="preserve"> HYPERLINK \l "__RefHeading___91876" </w:instrText>
      </w:r>
      <w:r>
        <w:fldChar w:fldCharType="separate"/>
      </w:r>
      <w:r>
        <w:t>3.8.4 Laboratory Investigations</w:t>
      </w:r>
      <w:r>
        <w:tab/>
      </w:r>
      <w:r>
        <w:fldChar w:fldCharType="begin"/>
      </w:r>
      <w:r>
        <w:instrText xml:space="preserve">PAGEREF __RefHeading___91876 \h</w:instrText>
      </w:r>
      <w:r>
        <w:fldChar w:fldCharType="separate"/>
      </w:r>
      <w:r>
        <w:t>33</w:t>
      </w:r>
      <w:r>
        <w:fldChar w:fldCharType="end"/>
      </w:r>
      <w:r>
        <w:fldChar w:fldCharType="end"/>
      </w:r>
    </w:p>
    <w:p w14:paraId="7258C98D">
      <w:pPr>
        <w:pStyle w:val="22"/>
        <w:tabs>
          <w:tab w:val="right" w:leader="dot" w:pos="9000"/>
        </w:tabs>
      </w:pPr>
      <w:r>
        <w:fldChar w:fldCharType="begin"/>
      </w:r>
      <w:r>
        <w:instrText xml:space="preserve"> HYPERLINK \l "__RefHeading___91877" </w:instrText>
      </w:r>
      <w:r>
        <w:fldChar w:fldCharType="separate"/>
      </w:r>
      <w:r>
        <w:t>3.9 Metabolic Syndrome Diagnostic Criteria</w:t>
      </w:r>
      <w:r>
        <w:tab/>
      </w:r>
      <w:r>
        <w:fldChar w:fldCharType="begin"/>
      </w:r>
      <w:r>
        <w:instrText xml:space="preserve">PAGEREF __RefHeading___91877 \h</w:instrText>
      </w:r>
      <w:r>
        <w:fldChar w:fldCharType="separate"/>
      </w:r>
      <w:r>
        <w:t>33</w:t>
      </w:r>
      <w:r>
        <w:fldChar w:fldCharType="end"/>
      </w:r>
      <w:r>
        <w:fldChar w:fldCharType="end"/>
      </w:r>
    </w:p>
    <w:p w14:paraId="5257A190">
      <w:pPr>
        <w:pStyle w:val="22"/>
        <w:tabs>
          <w:tab w:val="right" w:leader="dot" w:pos="9000"/>
        </w:tabs>
      </w:pPr>
      <w:r>
        <w:fldChar w:fldCharType="begin"/>
      </w:r>
      <w:r>
        <w:instrText xml:space="preserve"> HYPERLINK \l "__RefHeading___91878" </w:instrText>
      </w:r>
      <w:r>
        <w:fldChar w:fldCharType="separate"/>
      </w:r>
      <w:r>
        <w:t>3.10 Data Quality Assurance</w:t>
      </w:r>
      <w:r>
        <w:tab/>
      </w:r>
      <w:r>
        <w:fldChar w:fldCharType="begin"/>
      </w:r>
      <w:r>
        <w:instrText xml:space="preserve">PAGEREF __RefHeading___91878 \h</w:instrText>
      </w:r>
      <w:r>
        <w:fldChar w:fldCharType="separate"/>
      </w:r>
      <w:r>
        <w:t>34</w:t>
      </w:r>
      <w:r>
        <w:fldChar w:fldCharType="end"/>
      </w:r>
      <w:r>
        <w:fldChar w:fldCharType="end"/>
      </w:r>
    </w:p>
    <w:p w14:paraId="114320CA">
      <w:pPr>
        <w:pStyle w:val="22"/>
        <w:tabs>
          <w:tab w:val="right" w:leader="dot" w:pos="9000"/>
        </w:tabs>
      </w:pPr>
      <w:r>
        <w:fldChar w:fldCharType="begin"/>
      </w:r>
      <w:r>
        <w:instrText xml:space="preserve"> HYPERLINK \l "__RefHeading___91879" </w:instrText>
      </w:r>
      <w:r>
        <w:fldChar w:fldCharType="separate"/>
      </w:r>
      <w:r>
        <w:t>3.11 Statistical Analysis</w:t>
      </w:r>
      <w:r>
        <w:tab/>
      </w:r>
      <w:r>
        <w:fldChar w:fldCharType="begin"/>
      </w:r>
      <w:r>
        <w:instrText xml:space="preserve">PAGEREF __RefHeading___91879 \h</w:instrText>
      </w:r>
      <w:r>
        <w:fldChar w:fldCharType="separate"/>
      </w:r>
      <w:r>
        <w:t>35</w:t>
      </w:r>
      <w:r>
        <w:fldChar w:fldCharType="end"/>
      </w:r>
      <w:r>
        <w:fldChar w:fldCharType="end"/>
      </w:r>
    </w:p>
    <w:p w14:paraId="3004D983">
      <w:pPr>
        <w:pStyle w:val="22"/>
        <w:tabs>
          <w:tab w:val="right" w:leader="dot" w:pos="9000"/>
        </w:tabs>
      </w:pPr>
      <w:r>
        <w:fldChar w:fldCharType="begin"/>
      </w:r>
      <w:r>
        <w:instrText xml:space="preserve"> HYPERLINK \l "__RefHeading___91880" </w:instrText>
      </w:r>
      <w:r>
        <w:fldChar w:fldCharType="separate"/>
      </w:r>
      <w:r>
        <w:t>3.12 Ethical Considerations</w:t>
      </w:r>
      <w:r>
        <w:tab/>
      </w:r>
      <w:r>
        <w:fldChar w:fldCharType="begin"/>
      </w:r>
      <w:r>
        <w:instrText xml:space="preserve">PAGEREF __RefHeading___91880 \h</w:instrText>
      </w:r>
      <w:r>
        <w:fldChar w:fldCharType="separate"/>
      </w:r>
      <w:r>
        <w:t>36</w:t>
      </w:r>
      <w:r>
        <w:fldChar w:fldCharType="end"/>
      </w:r>
      <w:r>
        <w:fldChar w:fldCharType="end"/>
      </w:r>
    </w:p>
    <w:p w14:paraId="6B0A16CF">
      <w:pPr>
        <w:pStyle w:val="22"/>
        <w:tabs>
          <w:tab w:val="right" w:leader="dot" w:pos="9000"/>
        </w:tabs>
      </w:pPr>
      <w:r>
        <w:fldChar w:fldCharType="begin"/>
      </w:r>
      <w:r>
        <w:instrText xml:space="preserve"> HYPERLINK \l "__RefHeading___91881" </w:instrText>
      </w:r>
      <w:r>
        <w:fldChar w:fldCharType="separate"/>
      </w:r>
      <w:r>
        <w:t>Summary and Conclusions</w:t>
      </w:r>
      <w:r>
        <w:tab/>
      </w:r>
      <w:r>
        <w:fldChar w:fldCharType="begin"/>
      </w:r>
      <w:r>
        <w:instrText xml:space="preserve">PAGEREF __RefHeading___91881 \h</w:instrText>
      </w:r>
      <w:r>
        <w:fldChar w:fldCharType="separate"/>
      </w:r>
      <w:r>
        <w:t>37</w:t>
      </w:r>
      <w:r>
        <w:fldChar w:fldCharType="end"/>
      </w:r>
      <w:r>
        <w:fldChar w:fldCharType="end"/>
      </w:r>
    </w:p>
    <w:p w14:paraId="70F25856">
      <w:pPr>
        <w:pStyle w:val="21"/>
        <w:tabs>
          <w:tab w:val="right" w:leader="dot" w:pos="9000"/>
        </w:tabs>
      </w:pPr>
      <w:r>
        <w:fldChar w:fldCharType="begin"/>
      </w:r>
      <w:r>
        <w:instrText xml:space="preserve"> HYPERLINK \l "__RefHeading___91882" </w:instrText>
      </w:r>
      <w:r>
        <w:fldChar w:fldCharType="separate"/>
      </w:r>
      <w:r>
        <w:t>Chapter IV: Results</w:t>
      </w:r>
      <w:r>
        <w:tab/>
      </w:r>
      <w:r>
        <w:fldChar w:fldCharType="begin"/>
      </w:r>
      <w:r>
        <w:instrText xml:space="preserve">PAGEREF __RefHeading___91882 \h</w:instrText>
      </w:r>
      <w:r>
        <w:fldChar w:fldCharType="separate"/>
      </w:r>
      <w:r>
        <w:t>39</w:t>
      </w:r>
      <w:r>
        <w:fldChar w:fldCharType="end"/>
      </w:r>
      <w:r>
        <w:fldChar w:fldCharType="end"/>
      </w:r>
    </w:p>
    <w:p w14:paraId="45A3E65D">
      <w:pPr>
        <w:pStyle w:val="21"/>
        <w:tabs>
          <w:tab w:val="right" w:leader="dot" w:pos="9000"/>
        </w:tabs>
      </w:pPr>
      <w:r>
        <w:fldChar w:fldCharType="begin"/>
      </w:r>
      <w:r>
        <w:instrText xml:space="preserve"> HYPERLINK \l "__RefHeading___91883" </w:instrText>
      </w:r>
      <w:r>
        <w:fldChar w:fldCharType="separate"/>
      </w:r>
      <w:r>
        <w:t>__________________________________________________</w:t>
      </w:r>
      <w:r>
        <w:tab/>
      </w:r>
      <w:r>
        <w:fldChar w:fldCharType="begin"/>
      </w:r>
      <w:r>
        <w:instrText xml:space="preserve">PAGEREF __RefHeading___91883 \h</w:instrText>
      </w:r>
      <w:r>
        <w:fldChar w:fldCharType="separate"/>
      </w:r>
      <w:r>
        <w:t>39</w:t>
      </w:r>
      <w:r>
        <w:fldChar w:fldCharType="end"/>
      </w:r>
      <w:r>
        <w:fldChar w:fldCharType="end"/>
      </w:r>
    </w:p>
    <w:p w14:paraId="4F250840">
      <w:pPr>
        <w:pStyle w:val="22"/>
        <w:tabs>
          <w:tab w:val="right" w:leader="dot" w:pos="9000"/>
        </w:tabs>
      </w:pPr>
      <w:r>
        <w:fldChar w:fldCharType="begin"/>
      </w:r>
      <w:r>
        <w:instrText xml:space="preserve"> HYPERLINK \l "__RefHeading___91884" </w:instrText>
      </w:r>
      <w:r>
        <w:fldChar w:fldCharType="separate"/>
      </w:r>
      <w:r>
        <w:t>4.1 Socio-Demographic Characteristics of Participants</w:t>
      </w:r>
      <w:r>
        <w:tab/>
      </w:r>
      <w:r>
        <w:fldChar w:fldCharType="begin"/>
      </w:r>
      <w:r>
        <w:instrText xml:space="preserve">PAGEREF __RefHeading___91884 \h</w:instrText>
      </w:r>
      <w:r>
        <w:fldChar w:fldCharType="separate"/>
      </w:r>
      <w:r>
        <w:t>39</w:t>
      </w:r>
      <w:r>
        <w:fldChar w:fldCharType="end"/>
      </w:r>
      <w:r>
        <w:fldChar w:fldCharType="end"/>
      </w:r>
    </w:p>
    <w:p w14:paraId="12F10549">
      <w:pPr>
        <w:pStyle w:val="22"/>
        <w:tabs>
          <w:tab w:val="right" w:leader="dot" w:pos="9000"/>
        </w:tabs>
      </w:pPr>
      <w:r>
        <w:fldChar w:fldCharType="begin"/>
      </w:r>
      <w:r>
        <w:instrText xml:space="preserve"> HYPERLINK \l "__RefHeading___91885" </w:instrText>
      </w:r>
      <w:r>
        <w:fldChar w:fldCharType="separate"/>
      </w:r>
      <w:r>
        <w:t>4.2 Clinical Characteristics of Psoriasis Cases</w:t>
      </w:r>
      <w:r>
        <w:tab/>
      </w:r>
      <w:r>
        <w:fldChar w:fldCharType="begin"/>
      </w:r>
      <w:r>
        <w:instrText xml:space="preserve">PAGEREF __RefHeading___91885 \h</w:instrText>
      </w:r>
      <w:r>
        <w:fldChar w:fldCharType="separate"/>
      </w:r>
      <w:r>
        <w:t>40</w:t>
      </w:r>
      <w:r>
        <w:fldChar w:fldCharType="end"/>
      </w:r>
      <w:r>
        <w:fldChar w:fldCharType="end"/>
      </w:r>
    </w:p>
    <w:p w14:paraId="7E5F1EAA">
      <w:pPr>
        <w:pStyle w:val="22"/>
        <w:tabs>
          <w:tab w:val="right" w:leader="dot" w:pos="9000"/>
        </w:tabs>
      </w:pPr>
      <w:r>
        <w:fldChar w:fldCharType="begin"/>
      </w:r>
      <w:r>
        <w:instrText xml:space="preserve"> HYPERLINK \l "__RefHeading___91886" </w:instrText>
      </w:r>
      <w:r>
        <w:fldChar w:fldCharType="separate"/>
      </w:r>
      <w:r>
        <w:t>4.3 Lifestyle and Psychosocial Characteristics</w:t>
      </w:r>
      <w:r>
        <w:tab/>
      </w:r>
      <w:r>
        <w:fldChar w:fldCharType="begin"/>
      </w:r>
      <w:r>
        <w:instrText xml:space="preserve">PAGEREF __RefHeading___91886 \h</w:instrText>
      </w:r>
      <w:r>
        <w:fldChar w:fldCharType="separate"/>
      </w:r>
      <w:r>
        <w:t>41</w:t>
      </w:r>
      <w:r>
        <w:fldChar w:fldCharType="end"/>
      </w:r>
      <w:r>
        <w:fldChar w:fldCharType="end"/>
      </w:r>
    </w:p>
    <w:p w14:paraId="75B204FD">
      <w:pPr>
        <w:pStyle w:val="22"/>
        <w:tabs>
          <w:tab w:val="right" w:leader="dot" w:pos="9000"/>
        </w:tabs>
      </w:pPr>
      <w:r>
        <w:fldChar w:fldCharType="begin"/>
      </w:r>
      <w:r>
        <w:instrText xml:space="preserve"> HYPERLINK \l "__RefHeading___91887" </w:instrText>
      </w:r>
      <w:r>
        <w:fldChar w:fldCharType="separate"/>
      </w:r>
      <w:r>
        <w:t>4.4 Prevalence of Metabolic Syndrome and Its Components</w:t>
      </w:r>
      <w:r>
        <w:tab/>
      </w:r>
      <w:r>
        <w:fldChar w:fldCharType="begin"/>
      </w:r>
      <w:r>
        <w:instrText xml:space="preserve">PAGEREF __RefHeading___91887 \h</w:instrText>
      </w:r>
      <w:r>
        <w:fldChar w:fldCharType="separate"/>
      </w:r>
      <w:r>
        <w:t>43</w:t>
      </w:r>
      <w:r>
        <w:fldChar w:fldCharType="end"/>
      </w:r>
      <w:r>
        <w:fldChar w:fldCharType="end"/>
      </w:r>
    </w:p>
    <w:p w14:paraId="52E0462D">
      <w:pPr>
        <w:pStyle w:val="22"/>
        <w:tabs>
          <w:tab w:val="right" w:leader="dot" w:pos="9000"/>
        </w:tabs>
      </w:pPr>
      <w:r>
        <w:fldChar w:fldCharType="begin"/>
      </w:r>
      <w:r>
        <w:instrText xml:space="preserve"> HYPERLINK \l "__RefHeading___91888" </w:instrText>
      </w:r>
      <w:r>
        <w:fldChar w:fldCharType="separate"/>
      </w:r>
      <w:r>
        <w:t>4.5 Odds Ratio Analysis</w:t>
      </w:r>
      <w:r>
        <w:tab/>
      </w:r>
      <w:r>
        <w:fldChar w:fldCharType="begin"/>
      </w:r>
      <w:r>
        <w:instrText xml:space="preserve">PAGEREF __RefHeading___91888 \h</w:instrText>
      </w:r>
      <w:r>
        <w:fldChar w:fldCharType="separate"/>
      </w:r>
      <w:r>
        <w:t>45</w:t>
      </w:r>
      <w:r>
        <w:fldChar w:fldCharType="end"/>
      </w:r>
      <w:r>
        <w:fldChar w:fldCharType="end"/>
      </w:r>
    </w:p>
    <w:p w14:paraId="00A415C1">
      <w:pPr>
        <w:pStyle w:val="22"/>
        <w:tabs>
          <w:tab w:val="right" w:leader="dot" w:pos="9000"/>
        </w:tabs>
      </w:pPr>
      <w:r>
        <w:fldChar w:fldCharType="begin"/>
      </w:r>
      <w:r>
        <w:instrText xml:space="preserve"> HYPERLINK \l "__RefHeading___91889" </w:instrText>
      </w:r>
      <w:r>
        <w:fldChar w:fldCharType="separate"/>
      </w:r>
      <w:r>
        <w:t>4.6 Multivariate Logistic Regression</w:t>
      </w:r>
      <w:r>
        <w:tab/>
      </w:r>
      <w:r>
        <w:fldChar w:fldCharType="begin"/>
      </w:r>
      <w:r>
        <w:instrText xml:space="preserve">PAGEREF __RefHeading___91889 \h</w:instrText>
      </w:r>
      <w:r>
        <w:fldChar w:fldCharType="separate"/>
      </w:r>
      <w:r>
        <w:t>47</w:t>
      </w:r>
      <w:r>
        <w:fldChar w:fldCharType="end"/>
      </w:r>
      <w:r>
        <w:fldChar w:fldCharType="end"/>
      </w:r>
    </w:p>
    <w:p w14:paraId="4770DE64">
      <w:pPr>
        <w:pStyle w:val="22"/>
        <w:tabs>
          <w:tab w:val="right" w:leader="dot" w:pos="9000"/>
        </w:tabs>
      </w:pPr>
      <w:r>
        <w:fldChar w:fldCharType="begin"/>
      </w:r>
      <w:r>
        <w:instrText xml:space="preserve"> HYPERLINK \l "__RefHeading___91890" </w:instrText>
      </w:r>
      <w:r>
        <w:fldChar w:fldCharType="separate"/>
      </w:r>
      <w:r>
        <w:t>4.7 Dose-Response Relationship: Metabolic Syndrome and PASI Severity</w:t>
      </w:r>
      <w:r>
        <w:tab/>
      </w:r>
      <w:r>
        <w:fldChar w:fldCharType="begin"/>
      </w:r>
      <w:r>
        <w:instrText xml:space="preserve">PAGEREF __RefHeading___91890 \h</w:instrText>
      </w:r>
      <w:r>
        <w:fldChar w:fldCharType="separate"/>
      </w:r>
      <w:r>
        <w:t>48</w:t>
      </w:r>
      <w:r>
        <w:fldChar w:fldCharType="end"/>
      </w:r>
      <w:r>
        <w:fldChar w:fldCharType="end"/>
      </w:r>
    </w:p>
    <w:p w14:paraId="339CA1D9">
      <w:pPr>
        <w:pStyle w:val="21"/>
        <w:tabs>
          <w:tab w:val="right" w:leader="dot" w:pos="9000"/>
        </w:tabs>
      </w:pPr>
      <w:r>
        <w:fldChar w:fldCharType="begin"/>
      </w:r>
      <w:r>
        <w:instrText xml:space="preserve"> HYPERLINK \l "__RefHeading___91895" </w:instrText>
      </w:r>
      <w:r>
        <w:fldChar w:fldCharType="separate"/>
      </w:r>
      <w:r>
        <w:t>Chapter V: Discussion</w:t>
      </w:r>
      <w:r>
        <w:tab/>
      </w:r>
      <w:r>
        <w:fldChar w:fldCharType="begin"/>
      </w:r>
      <w:r>
        <w:instrText xml:space="preserve">PAGEREF __RefHeading___91895 \h</w:instrText>
      </w:r>
      <w:r>
        <w:fldChar w:fldCharType="separate"/>
      </w:r>
      <w:r>
        <w:t>52</w:t>
      </w:r>
      <w:r>
        <w:fldChar w:fldCharType="end"/>
      </w:r>
      <w:r>
        <w:fldChar w:fldCharType="end"/>
      </w:r>
    </w:p>
    <w:p w14:paraId="5D03717C">
      <w:pPr>
        <w:pStyle w:val="21"/>
        <w:tabs>
          <w:tab w:val="right" w:leader="dot" w:pos="9000"/>
        </w:tabs>
      </w:pPr>
      <w:r>
        <w:fldChar w:fldCharType="begin"/>
      </w:r>
      <w:r>
        <w:instrText xml:space="preserve"> HYPERLINK \l "__RefHeading___91896" </w:instrText>
      </w:r>
      <w:r>
        <w:fldChar w:fldCharType="separate"/>
      </w:r>
      <w:r>
        <w:t>__________________________________________________</w:t>
      </w:r>
      <w:r>
        <w:tab/>
      </w:r>
      <w:r>
        <w:fldChar w:fldCharType="begin"/>
      </w:r>
      <w:r>
        <w:instrText xml:space="preserve">PAGEREF __RefHeading___91896 \h</w:instrText>
      </w:r>
      <w:r>
        <w:fldChar w:fldCharType="separate"/>
      </w:r>
      <w:r>
        <w:t>52</w:t>
      </w:r>
      <w:r>
        <w:fldChar w:fldCharType="end"/>
      </w:r>
      <w:r>
        <w:fldChar w:fldCharType="end"/>
      </w:r>
    </w:p>
    <w:p w14:paraId="265BEC5E">
      <w:pPr>
        <w:pStyle w:val="22"/>
        <w:tabs>
          <w:tab w:val="right" w:leader="dot" w:pos="9000"/>
        </w:tabs>
      </w:pPr>
      <w:r>
        <w:fldChar w:fldCharType="begin"/>
      </w:r>
      <w:r>
        <w:instrText xml:space="preserve"> HYPERLINK \l "__RefHeading___91897" </w:instrText>
      </w:r>
      <w:r>
        <w:fldChar w:fldCharType="separate"/>
      </w:r>
      <w:r>
        <w:t>5.1 Overview of Principal Findings</w:t>
      </w:r>
      <w:r>
        <w:tab/>
      </w:r>
      <w:r>
        <w:fldChar w:fldCharType="begin"/>
      </w:r>
      <w:r>
        <w:instrText xml:space="preserve">PAGEREF __RefHeading___91897 \h</w:instrText>
      </w:r>
      <w:r>
        <w:fldChar w:fldCharType="separate"/>
      </w:r>
      <w:r>
        <w:t>52</w:t>
      </w:r>
      <w:r>
        <w:fldChar w:fldCharType="end"/>
      </w:r>
      <w:r>
        <w:fldChar w:fldCharType="end"/>
      </w:r>
    </w:p>
    <w:p w14:paraId="6631DB77">
      <w:pPr>
        <w:pStyle w:val="22"/>
        <w:tabs>
          <w:tab w:val="right" w:leader="dot" w:pos="9000"/>
        </w:tabs>
      </w:pPr>
      <w:r>
        <w:fldChar w:fldCharType="begin"/>
      </w:r>
      <w:r>
        <w:instrText xml:space="preserve"> HYPERLINK \l "__RefHeading___91898" </w:instrText>
      </w:r>
      <w:r>
        <w:fldChar w:fldCharType="separate"/>
      </w:r>
      <w:r>
        <w:t>5.2 Socio-Demographic Profile and Contextual Interpretation</w:t>
      </w:r>
      <w:r>
        <w:tab/>
      </w:r>
      <w:r>
        <w:fldChar w:fldCharType="begin"/>
      </w:r>
      <w:r>
        <w:instrText xml:space="preserve">PAGEREF __RefHeading___91898 \h</w:instrText>
      </w:r>
      <w:r>
        <w:fldChar w:fldCharType="separate"/>
      </w:r>
      <w:r>
        <w:t>52</w:t>
      </w:r>
      <w:r>
        <w:fldChar w:fldCharType="end"/>
      </w:r>
      <w:r>
        <w:fldChar w:fldCharType="end"/>
      </w:r>
    </w:p>
    <w:p w14:paraId="3A5D9758">
      <w:pPr>
        <w:pStyle w:val="22"/>
        <w:tabs>
          <w:tab w:val="right" w:leader="dot" w:pos="9000"/>
        </w:tabs>
      </w:pPr>
      <w:r>
        <w:fldChar w:fldCharType="begin"/>
      </w:r>
      <w:r>
        <w:instrText xml:space="preserve"> HYPERLINK \l "__RefHeading___91899" </w:instrText>
      </w:r>
      <w:r>
        <w:fldChar w:fldCharType="separate"/>
      </w:r>
      <w:r>
        <w:t>5.3 Comparison with Regional and Global Literature</w:t>
      </w:r>
      <w:r>
        <w:tab/>
      </w:r>
      <w:r>
        <w:fldChar w:fldCharType="begin"/>
      </w:r>
      <w:r>
        <w:instrText xml:space="preserve">PAGEREF __RefHeading___91899 \h</w:instrText>
      </w:r>
      <w:r>
        <w:fldChar w:fldCharType="separate"/>
      </w:r>
      <w:r>
        <w:t>53</w:t>
      </w:r>
      <w:r>
        <w:fldChar w:fldCharType="end"/>
      </w:r>
      <w:r>
        <w:fldChar w:fldCharType="end"/>
      </w:r>
    </w:p>
    <w:p w14:paraId="168D0E2D">
      <w:pPr>
        <w:pStyle w:val="22"/>
        <w:tabs>
          <w:tab w:val="right" w:leader="dot" w:pos="9000"/>
        </w:tabs>
      </w:pPr>
      <w:r>
        <w:fldChar w:fldCharType="begin"/>
      </w:r>
      <w:r>
        <w:instrText xml:space="preserve"> HYPERLINK \l "__RefHeading___91900" </w:instrText>
      </w:r>
      <w:r>
        <w:fldChar w:fldCharType="separate"/>
      </w:r>
      <w:r>
        <w:t>5.4 Individual Metabolic Syndrome Components</w:t>
      </w:r>
      <w:r>
        <w:tab/>
      </w:r>
      <w:r>
        <w:fldChar w:fldCharType="begin"/>
      </w:r>
      <w:r>
        <w:instrText xml:space="preserve">PAGEREF __RefHeading___91900 \h</w:instrText>
      </w:r>
      <w:r>
        <w:fldChar w:fldCharType="separate"/>
      </w:r>
      <w:r>
        <w:t>54</w:t>
      </w:r>
      <w:r>
        <w:fldChar w:fldCharType="end"/>
      </w:r>
      <w:r>
        <w:fldChar w:fldCharType="end"/>
      </w:r>
    </w:p>
    <w:p w14:paraId="55F729BA">
      <w:pPr>
        <w:pStyle w:val="23"/>
        <w:tabs>
          <w:tab w:val="right" w:leader="dot" w:pos="9000"/>
        </w:tabs>
      </w:pPr>
      <w:r>
        <w:fldChar w:fldCharType="begin"/>
      </w:r>
      <w:r>
        <w:instrText xml:space="preserve"> HYPERLINK \l "__RefHeading___91901" </w:instrText>
      </w:r>
      <w:r>
        <w:fldChar w:fldCharType="separate"/>
      </w:r>
      <w:r>
        <w:t>5.4.1 Hypertriglyceridaemia</w:t>
      </w:r>
      <w:r>
        <w:tab/>
      </w:r>
      <w:r>
        <w:fldChar w:fldCharType="begin"/>
      </w:r>
      <w:r>
        <w:instrText xml:space="preserve">PAGEREF __RefHeading___91901 \h</w:instrText>
      </w:r>
      <w:r>
        <w:fldChar w:fldCharType="separate"/>
      </w:r>
      <w:r>
        <w:t>54</w:t>
      </w:r>
      <w:r>
        <w:fldChar w:fldCharType="end"/>
      </w:r>
      <w:r>
        <w:fldChar w:fldCharType="end"/>
      </w:r>
    </w:p>
    <w:p w14:paraId="0F3F8C7A">
      <w:pPr>
        <w:pStyle w:val="23"/>
        <w:tabs>
          <w:tab w:val="right" w:leader="dot" w:pos="9000"/>
        </w:tabs>
      </w:pPr>
      <w:r>
        <w:fldChar w:fldCharType="begin"/>
      </w:r>
      <w:r>
        <w:instrText xml:space="preserve"> HYPERLINK \l "__RefHeading___91902" </w:instrText>
      </w:r>
      <w:r>
        <w:fldChar w:fldCharType="separate"/>
      </w:r>
      <w:r>
        <w:t>5.4.2 Overweight and Obesity</w:t>
      </w:r>
      <w:r>
        <w:tab/>
      </w:r>
      <w:r>
        <w:fldChar w:fldCharType="begin"/>
      </w:r>
      <w:r>
        <w:instrText xml:space="preserve">PAGEREF __RefHeading___91902 \h</w:instrText>
      </w:r>
      <w:r>
        <w:fldChar w:fldCharType="separate"/>
      </w:r>
      <w:r>
        <w:t>55</w:t>
      </w:r>
      <w:r>
        <w:fldChar w:fldCharType="end"/>
      </w:r>
      <w:r>
        <w:fldChar w:fldCharType="end"/>
      </w:r>
    </w:p>
    <w:p w14:paraId="44035C1F">
      <w:pPr>
        <w:pStyle w:val="23"/>
        <w:tabs>
          <w:tab w:val="right" w:leader="dot" w:pos="9000"/>
        </w:tabs>
      </w:pPr>
      <w:r>
        <w:fldChar w:fldCharType="begin"/>
      </w:r>
      <w:r>
        <w:instrText xml:space="preserve"> HYPERLINK \l "__RefHeading___91903" </w:instrText>
      </w:r>
      <w:r>
        <w:fldChar w:fldCharType="separate"/>
      </w:r>
      <w:r>
        <w:t>5.4.3 Hyperglycaemia and Insulin Resistance</w:t>
      </w:r>
      <w:r>
        <w:tab/>
      </w:r>
      <w:r>
        <w:fldChar w:fldCharType="begin"/>
      </w:r>
      <w:r>
        <w:instrText xml:space="preserve">PAGEREF __RefHeading___91903 \h</w:instrText>
      </w:r>
      <w:r>
        <w:fldChar w:fldCharType="separate"/>
      </w:r>
      <w:r>
        <w:t>55</w:t>
      </w:r>
      <w:r>
        <w:fldChar w:fldCharType="end"/>
      </w:r>
      <w:r>
        <w:fldChar w:fldCharType="end"/>
      </w:r>
    </w:p>
    <w:p w14:paraId="67092F4D">
      <w:pPr>
        <w:pStyle w:val="23"/>
        <w:tabs>
          <w:tab w:val="right" w:leader="dot" w:pos="9000"/>
        </w:tabs>
      </w:pPr>
      <w:r>
        <w:fldChar w:fldCharType="begin"/>
      </w:r>
      <w:r>
        <w:instrText xml:space="preserve"> HYPERLINK \l "__RefHeading___91904" </w:instrText>
      </w:r>
      <w:r>
        <w:fldChar w:fldCharType="separate"/>
      </w:r>
      <w:r>
        <w:t>5.4.4 Hypertension</w:t>
      </w:r>
      <w:r>
        <w:tab/>
      </w:r>
      <w:r>
        <w:fldChar w:fldCharType="begin"/>
      </w:r>
      <w:r>
        <w:instrText xml:space="preserve">PAGEREF __RefHeading___91904 \h</w:instrText>
      </w:r>
      <w:r>
        <w:fldChar w:fldCharType="separate"/>
      </w:r>
      <w:r>
        <w:t>56</w:t>
      </w:r>
      <w:r>
        <w:fldChar w:fldCharType="end"/>
      </w:r>
      <w:r>
        <w:fldChar w:fldCharType="end"/>
      </w:r>
    </w:p>
    <w:p w14:paraId="20AD1F65">
      <w:pPr>
        <w:pStyle w:val="23"/>
        <w:tabs>
          <w:tab w:val="right" w:leader="dot" w:pos="9000"/>
        </w:tabs>
      </w:pPr>
      <w:r>
        <w:fldChar w:fldCharType="begin"/>
      </w:r>
      <w:r>
        <w:instrText xml:space="preserve"> HYPERLINK \l "__RefHeading___91905" </w:instrText>
      </w:r>
      <w:r>
        <w:fldChar w:fldCharType="separate"/>
      </w:r>
      <w:r>
        <w:t>5.4.5 Low HDL Cholesterol</w:t>
      </w:r>
      <w:r>
        <w:tab/>
      </w:r>
      <w:r>
        <w:fldChar w:fldCharType="begin"/>
      </w:r>
      <w:r>
        <w:instrText xml:space="preserve">PAGEREF __RefHeading___91905 \h</w:instrText>
      </w:r>
      <w:r>
        <w:fldChar w:fldCharType="separate"/>
      </w:r>
      <w:r>
        <w:t>56</w:t>
      </w:r>
      <w:r>
        <w:fldChar w:fldCharType="end"/>
      </w:r>
      <w:r>
        <w:fldChar w:fldCharType="end"/>
      </w:r>
    </w:p>
    <w:p w14:paraId="4FC0C735">
      <w:pPr>
        <w:pStyle w:val="23"/>
        <w:tabs>
          <w:tab w:val="right" w:leader="dot" w:pos="9000"/>
        </w:tabs>
      </w:pPr>
      <w:r>
        <w:fldChar w:fldCharType="begin"/>
      </w:r>
      <w:r>
        <w:instrText xml:space="preserve"> HYPERLINK \l "__RefHeading___91906" </w:instrText>
      </w:r>
      <w:r>
        <w:fldChar w:fldCharType="separate"/>
      </w:r>
      <w:r>
        <w:t>5.4.6 Central Obesity</w:t>
      </w:r>
      <w:r>
        <w:tab/>
      </w:r>
      <w:r>
        <w:fldChar w:fldCharType="begin"/>
      </w:r>
      <w:r>
        <w:instrText xml:space="preserve">PAGEREF __RefHeading___91906 \h</w:instrText>
      </w:r>
      <w:r>
        <w:fldChar w:fldCharType="separate"/>
      </w:r>
      <w:r>
        <w:t>56</w:t>
      </w:r>
      <w:r>
        <w:fldChar w:fldCharType="end"/>
      </w:r>
      <w:r>
        <w:fldChar w:fldCharType="end"/>
      </w:r>
    </w:p>
    <w:p w14:paraId="7FC3108D">
      <w:pPr>
        <w:pStyle w:val="22"/>
        <w:tabs>
          <w:tab w:val="right" w:leader="dot" w:pos="9000"/>
        </w:tabs>
      </w:pPr>
      <w:r>
        <w:fldChar w:fldCharType="begin"/>
      </w:r>
      <w:r>
        <w:instrText xml:space="preserve"> HYPERLINK \l "__RefHeading___91907" </w:instrText>
      </w:r>
      <w:r>
        <w:fldChar w:fldCharType="separate"/>
      </w:r>
      <w:r>
        <w:t>5.5 The Dose-Response Relationship</w:t>
      </w:r>
      <w:r>
        <w:tab/>
      </w:r>
      <w:r>
        <w:fldChar w:fldCharType="begin"/>
      </w:r>
      <w:r>
        <w:instrText xml:space="preserve">PAGEREF __RefHeading___91907 \h</w:instrText>
      </w:r>
      <w:r>
        <w:fldChar w:fldCharType="separate"/>
      </w:r>
      <w:r>
        <w:t>57</w:t>
      </w:r>
      <w:r>
        <w:fldChar w:fldCharType="end"/>
      </w:r>
      <w:r>
        <w:fldChar w:fldCharType="end"/>
      </w:r>
    </w:p>
    <w:p w14:paraId="0F80B822">
      <w:pPr>
        <w:pStyle w:val="22"/>
        <w:tabs>
          <w:tab w:val="right" w:leader="dot" w:pos="9000"/>
        </w:tabs>
      </w:pPr>
      <w:r>
        <w:fldChar w:fldCharType="begin"/>
      </w:r>
      <w:r>
        <w:instrText xml:space="preserve"> HYPERLINK \l "__RefHeading___91908" </w:instrText>
      </w:r>
      <w:r>
        <w:fldChar w:fldCharType="separate"/>
      </w:r>
      <w:r>
        <w:t>5.6 Psychosocial Burden and Its Metabolic Consequences</w:t>
      </w:r>
      <w:r>
        <w:tab/>
      </w:r>
      <w:r>
        <w:fldChar w:fldCharType="begin"/>
      </w:r>
      <w:r>
        <w:instrText xml:space="preserve">PAGEREF __RefHeading___91908 \h</w:instrText>
      </w:r>
      <w:r>
        <w:fldChar w:fldCharType="separate"/>
      </w:r>
      <w:r>
        <w:t>58</w:t>
      </w:r>
      <w:r>
        <w:fldChar w:fldCharType="end"/>
      </w:r>
      <w:r>
        <w:fldChar w:fldCharType="end"/>
      </w:r>
    </w:p>
    <w:p w14:paraId="128D7936">
      <w:pPr>
        <w:pStyle w:val="22"/>
        <w:tabs>
          <w:tab w:val="right" w:leader="dot" w:pos="9000"/>
        </w:tabs>
      </w:pPr>
      <w:r>
        <w:fldChar w:fldCharType="begin"/>
      </w:r>
      <w:r>
        <w:instrText xml:space="preserve"> HYPERLINK \l "__RefHeading___91909" </w:instrText>
      </w:r>
      <w:r>
        <w:fldChar w:fldCharType="separate"/>
      </w:r>
      <w:r>
        <w:t>5.7 Comparison with Prior Afghan Data</w:t>
      </w:r>
      <w:r>
        <w:tab/>
      </w:r>
      <w:r>
        <w:fldChar w:fldCharType="begin"/>
      </w:r>
      <w:r>
        <w:instrText xml:space="preserve">PAGEREF __RefHeading___91909 \h</w:instrText>
      </w:r>
      <w:r>
        <w:fldChar w:fldCharType="separate"/>
      </w:r>
      <w:r>
        <w:t>58</w:t>
      </w:r>
      <w:r>
        <w:fldChar w:fldCharType="end"/>
      </w:r>
      <w:r>
        <w:fldChar w:fldCharType="end"/>
      </w:r>
    </w:p>
    <w:p w14:paraId="73BE7347">
      <w:pPr>
        <w:pStyle w:val="22"/>
        <w:tabs>
          <w:tab w:val="right" w:leader="dot" w:pos="9000"/>
        </w:tabs>
      </w:pPr>
      <w:r>
        <w:fldChar w:fldCharType="begin"/>
      </w:r>
      <w:r>
        <w:instrText xml:space="preserve"> HYPERLINK \l "__RefHeading___91910" </w:instrText>
      </w:r>
      <w:r>
        <w:fldChar w:fldCharType="separate"/>
      </w:r>
      <w:r>
        <w:t>5.8 Clinical Implications</w:t>
      </w:r>
      <w:r>
        <w:tab/>
      </w:r>
      <w:r>
        <w:fldChar w:fldCharType="begin"/>
      </w:r>
      <w:r>
        <w:instrText xml:space="preserve">PAGEREF __RefHeading___91910 \h</w:instrText>
      </w:r>
      <w:r>
        <w:fldChar w:fldCharType="separate"/>
      </w:r>
      <w:r>
        <w:t>59</w:t>
      </w:r>
      <w:r>
        <w:fldChar w:fldCharType="end"/>
      </w:r>
      <w:r>
        <w:fldChar w:fldCharType="end"/>
      </w:r>
    </w:p>
    <w:p w14:paraId="44711250">
      <w:pPr>
        <w:pStyle w:val="22"/>
        <w:tabs>
          <w:tab w:val="right" w:leader="dot" w:pos="9000"/>
        </w:tabs>
      </w:pPr>
      <w:r>
        <w:fldChar w:fldCharType="begin"/>
      </w:r>
      <w:r>
        <w:instrText xml:space="preserve"> HYPERLINK \l "__RefHeading___91911" </w:instrText>
      </w:r>
      <w:r>
        <w:fldChar w:fldCharType="separate"/>
      </w:r>
      <w:r>
        <w:t>5.9 Policy Implications</w:t>
      </w:r>
      <w:r>
        <w:tab/>
      </w:r>
      <w:r>
        <w:fldChar w:fldCharType="begin"/>
      </w:r>
      <w:r>
        <w:instrText xml:space="preserve">PAGEREF __RefHeading___91911 \h</w:instrText>
      </w:r>
      <w:r>
        <w:fldChar w:fldCharType="separate"/>
      </w:r>
      <w:r>
        <w:t>59</w:t>
      </w:r>
      <w:r>
        <w:fldChar w:fldCharType="end"/>
      </w:r>
      <w:r>
        <w:fldChar w:fldCharType="end"/>
      </w:r>
    </w:p>
    <w:p w14:paraId="1E7E7BCA">
      <w:pPr>
        <w:pStyle w:val="22"/>
        <w:tabs>
          <w:tab w:val="right" w:leader="dot" w:pos="9000"/>
        </w:tabs>
      </w:pPr>
      <w:r>
        <w:fldChar w:fldCharType="begin"/>
      </w:r>
      <w:r>
        <w:instrText xml:space="preserve"> HYPERLINK \l "__RefHeading___91912" </w:instrText>
      </w:r>
      <w:r>
        <w:fldChar w:fldCharType="separate"/>
      </w:r>
      <w:r>
        <w:t>5.10 Strengths of the Study</w:t>
      </w:r>
      <w:r>
        <w:tab/>
      </w:r>
      <w:r>
        <w:fldChar w:fldCharType="begin"/>
      </w:r>
      <w:r>
        <w:instrText xml:space="preserve">PAGEREF __RefHeading___91912 \h</w:instrText>
      </w:r>
      <w:r>
        <w:fldChar w:fldCharType="separate"/>
      </w:r>
      <w:r>
        <w:t>60</w:t>
      </w:r>
      <w:r>
        <w:fldChar w:fldCharType="end"/>
      </w:r>
      <w:r>
        <w:fldChar w:fldCharType="end"/>
      </w:r>
    </w:p>
    <w:p w14:paraId="446184A4">
      <w:pPr>
        <w:pStyle w:val="22"/>
        <w:tabs>
          <w:tab w:val="right" w:leader="dot" w:pos="9000"/>
        </w:tabs>
      </w:pPr>
      <w:r>
        <w:fldChar w:fldCharType="begin"/>
      </w:r>
      <w:r>
        <w:instrText xml:space="preserve"> HYPERLINK \l "__RefHeading___91913" </w:instrText>
      </w:r>
      <w:r>
        <w:fldChar w:fldCharType="separate"/>
      </w:r>
      <w:r>
        <w:t>5.11 Limitations of the Study</w:t>
      </w:r>
      <w:r>
        <w:tab/>
      </w:r>
      <w:r>
        <w:fldChar w:fldCharType="begin"/>
      </w:r>
      <w:r>
        <w:instrText xml:space="preserve">PAGEREF __RefHeading___91913 \h</w:instrText>
      </w:r>
      <w:r>
        <w:fldChar w:fldCharType="separate"/>
      </w:r>
      <w:r>
        <w:t>60</w:t>
      </w:r>
      <w:r>
        <w:fldChar w:fldCharType="end"/>
      </w:r>
      <w:r>
        <w:fldChar w:fldCharType="end"/>
      </w:r>
    </w:p>
    <w:p w14:paraId="705DC2DC">
      <w:pPr>
        <w:pStyle w:val="22"/>
        <w:tabs>
          <w:tab w:val="right" w:leader="dot" w:pos="9000"/>
        </w:tabs>
      </w:pPr>
      <w:r>
        <w:fldChar w:fldCharType="begin"/>
      </w:r>
      <w:r>
        <w:instrText xml:space="preserve"> HYPERLINK \l "__RefHeading___91914" </w:instrText>
      </w:r>
      <w:r>
        <w:fldChar w:fldCharType="separate"/>
      </w:r>
      <w:r>
        <w:t>Summary and Conclusions</w:t>
      </w:r>
      <w:r>
        <w:tab/>
      </w:r>
      <w:r>
        <w:fldChar w:fldCharType="begin"/>
      </w:r>
      <w:r>
        <w:instrText xml:space="preserve">PAGEREF __RefHeading___91914 \h</w:instrText>
      </w:r>
      <w:r>
        <w:fldChar w:fldCharType="separate"/>
      </w:r>
      <w:r>
        <w:t>61</w:t>
      </w:r>
      <w:r>
        <w:fldChar w:fldCharType="end"/>
      </w:r>
      <w:r>
        <w:fldChar w:fldCharType="end"/>
      </w:r>
    </w:p>
    <w:p w14:paraId="3D54140D">
      <w:pPr>
        <w:pStyle w:val="21"/>
        <w:tabs>
          <w:tab w:val="right" w:leader="dot" w:pos="9000"/>
        </w:tabs>
      </w:pPr>
      <w:r>
        <w:fldChar w:fldCharType="begin"/>
      </w:r>
      <w:r>
        <w:instrText xml:space="preserve"> HYPERLINK \l "__RefHeading___91918" </w:instrText>
      </w:r>
      <w:r>
        <w:fldChar w:fldCharType="separate"/>
      </w:r>
      <w:r>
        <w:t>Chapter VI</w:t>
      </w:r>
      <w:r>
        <w:tab/>
      </w:r>
      <w:r>
        <w:fldChar w:fldCharType="begin"/>
      </w:r>
      <w:r>
        <w:instrText xml:space="preserve">PAGEREF __RefHeading___91918 \h</w:instrText>
      </w:r>
      <w:r>
        <w:fldChar w:fldCharType="separate"/>
      </w:r>
      <w:r>
        <w:t>63</w:t>
      </w:r>
      <w:r>
        <w:fldChar w:fldCharType="end"/>
      </w:r>
      <w:r>
        <w:fldChar w:fldCharType="end"/>
      </w:r>
    </w:p>
    <w:p w14:paraId="58D9AFB7">
      <w:pPr>
        <w:pStyle w:val="21"/>
        <w:tabs>
          <w:tab w:val="right" w:leader="dot" w:pos="9000"/>
        </w:tabs>
      </w:pPr>
      <w:r>
        <w:fldChar w:fldCharType="begin"/>
      </w:r>
      <w:r>
        <w:instrText xml:space="preserve"> HYPERLINK \l "__RefHeading___91919" </w:instrText>
      </w:r>
      <w:r>
        <w:fldChar w:fldCharType="separate"/>
      </w:r>
      <w:r>
        <w:t>Conclusion, and Recommendations</w:t>
      </w:r>
      <w:r>
        <w:tab/>
      </w:r>
      <w:r>
        <w:fldChar w:fldCharType="begin"/>
      </w:r>
      <w:r>
        <w:instrText xml:space="preserve">PAGEREF __RefHeading___91919 \h</w:instrText>
      </w:r>
      <w:r>
        <w:fldChar w:fldCharType="separate"/>
      </w:r>
      <w:r>
        <w:t>63</w:t>
      </w:r>
      <w:r>
        <w:fldChar w:fldCharType="end"/>
      </w:r>
      <w:r>
        <w:fldChar w:fldCharType="end"/>
      </w:r>
    </w:p>
    <w:p w14:paraId="5BCB889A">
      <w:pPr>
        <w:pStyle w:val="21"/>
        <w:tabs>
          <w:tab w:val="right" w:leader="dot" w:pos="9000"/>
        </w:tabs>
      </w:pPr>
      <w:r>
        <w:fldChar w:fldCharType="begin"/>
      </w:r>
      <w:r>
        <w:instrText xml:space="preserve"> HYPERLINK \l "__RefHeading___91920" </w:instrText>
      </w:r>
      <w:r>
        <w:fldChar w:fldCharType="separate"/>
      </w:r>
      <w:r>
        <w:t>__________________________________________________</w:t>
      </w:r>
      <w:r>
        <w:tab/>
      </w:r>
      <w:r>
        <w:fldChar w:fldCharType="begin"/>
      </w:r>
      <w:r>
        <w:instrText xml:space="preserve">PAGEREF __RefHeading___91920 \h</w:instrText>
      </w:r>
      <w:r>
        <w:fldChar w:fldCharType="separate"/>
      </w:r>
      <w:r>
        <w:t>63</w:t>
      </w:r>
      <w:r>
        <w:fldChar w:fldCharType="end"/>
      </w:r>
      <w:r>
        <w:fldChar w:fldCharType="end"/>
      </w:r>
    </w:p>
    <w:p w14:paraId="31BA70A3">
      <w:pPr>
        <w:pStyle w:val="22"/>
        <w:tabs>
          <w:tab w:val="right" w:leader="dot" w:pos="9000"/>
        </w:tabs>
      </w:pPr>
      <w:r>
        <w:fldChar w:fldCharType="begin"/>
      </w:r>
      <w:r>
        <w:instrText xml:space="preserve"> HYPERLINK \l "__RefHeading___91921" </w:instrText>
      </w:r>
      <w:r>
        <w:fldChar w:fldCharType="separate"/>
      </w:r>
      <w:r>
        <w:t>6.1 Summary of Findings</w:t>
      </w:r>
      <w:r>
        <w:tab/>
      </w:r>
      <w:r>
        <w:fldChar w:fldCharType="begin"/>
      </w:r>
      <w:r>
        <w:instrText xml:space="preserve">PAGEREF __RefHeading___91921 \h</w:instrText>
      </w:r>
      <w:r>
        <w:fldChar w:fldCharType="separate"/>
      </w:r>
      <w:r>
        <w:t>63</w:t>
      </w:r>
      <w:r>
        <w:fldChar w:fldCharType="end"/>
      </w:r>
      <w:r>
        <w:fldChar w:fldCharType="end"/>
      </w:r>
    </w:p>
    <w:p w14:paraId="5C632D2E">
      <w:pPr>
        <w:pStyle w:val="22"/>
        <w:tabs>
          <w:tab w:val="right" w:leader="dot" w:pos="9000"/>
        </w:tabs>
      </w:pPr>
      <w:r>
        <w:fldChar w:fldCharType="begin"/>
      </w:r>
      <w:r>
        <w:instrText xml:space="preserve"> HYPERLINK \l "__RefHeading___91922" </w:instrText>
      </w:r>
      <w:r>
        <w:fldChar w:fldCharType="separate"/>
      </w:r>
      <w:r>
        <w:t>6.2 Conclusion</w:t>
      </w:r>
      <w:r>
        <w:tab/>
      </w:r>
      <w:r>
        <w:fldChar w:fldCharType="begin"/>
      </w:r>
      <w:r>
        <w:instrText xml:space="preserve">PAGEREF __RefHeading___91922 \h</w:instrText>
      </w:r>
      <w:r>
        <w:fldChar w:fldCharType="separate"/>
      </w:r>
      <w:r>
        <w:t>64</w:t>
      </w:r>
      <w:r>
        <w:fldChar w:fldCharType="end"/>
      </w:r>
      <w:r>
        <w:fldChar w:fldCharType="end"/>
      </w:r>
    </w:p>
    <w:p w14:paraId="357E4A54">
      <w:pPr>
        <w:pStyle w:val="22"/>
        <w:tabs>
          <w:tab w:val="right" w:leader="dot" w:pos="9000"/>
        </w:tabs>
      </w:pPr>
      <w:r>
        <w:fldChar w:fldCharType="begin"/>
      </w:r>
      <w:r>
        <w:instrText xml:space="preserve"> HYPERLINK \l "__RefHeading___91923" </w:instrText>
      </w:r>
      <w:r>
        <w:fldChar w:fldCharType="separate"/>
      </w:r>
      <w:r>
        <w:t>6.3 Recommendations</w:t>
      </w:r>
      <w:r>
        <w:tab/>
      </w:r>
      <w:r>
        <w:fldChar w:fldCharType="begin"/>
      </w:r>
      <w:r>
        <w:instrText xml:space="preserve">PAGEREF __RefHeading___91923 \h</w:instrText>
      </w:r>
      <w:r>
        <w:fldChar w:fldCharType="separate"/>
      </w:r>
      <w:r>
        <w:t>65</w:t>
      </w:r>
      <w:r>
        <w:fldChar w:fldCharType="end"/>
      </w:r>
      <w:r>
        <w:fldChar w:fldCharType="end"/>
      </w:r>
    </w:p>
    <w:p w14:paraId="65702571">
      <w:pPr>
        <w:pStyle w:val="23"/>
        <w:tabs>
          <w:tab w:val="right" w:leader="dot" w:pos="9000"/>
        </w:tabs>
      </w:pPr>
      <w:r>
        <w:fldChar w:fldCharType="begin"/>
      </w:r>
      <w:r>
        <w:instrText xml:space="preserve"> HYPERLINK \l "__RefHeading___91924" </w:instrText>
      </w:r>
      <w:r>
        <w:fldChar w:fldCharType="separate"/>
      </w:r>
      <w:r>
        <w:t>6.3.1 For Clinicians at Faryab State Hospital</w:t>
      </w:r>
      <w:r>
        <w:tab/>
      </w:r>
      <w:r>
        <w:fldChar w:fldCharType="begin"/>
      </w:r>
      <w:r>
        <w:instrText xml:space="preserve">PAGEREF __RefHeading___91924 \h</w:instrText>
      </w:r>
      <w:r>
        <w:fldChar w:fldCharType="separate"/>
      </w:r>
      <w:r>
        <w:t>65</w:t>
      </w:r>
      <w:r>
        <w:fldChar w:fldCharType="end"/>
      </w:r>
      <w:r>
        <w:fldChar w:fldCharType="end"/>
      </w:r>
    </w:p>
    <w:p w14:paraId="4878A840">
      <w:pPr>
        <w:pStyle w:val="23"/>
        <w:tabs>
          <w:tab w:val="right" w:leader="dot" w:pos="9000"/>
        </w:tabs>
      </w:pPr>
      <w:r>
        <w:fldChar w:fldCharType="begin"/>
      </w:r>
      <w:r>
        <w:instrText xml:space="preserve"> HYPERLINK \l "__RefHeading___91925" </w:instrText>
      </w:r>
      <w:r>
        <w:fldChar w:fldCharType="separate"/>
      </w:r>
      <w:r>
        <w:t>6.3.2 For Hospital Administration</w:t>
      </w:r>
      <w:r>
        <w:tab/>
      </w:r>
      <w:r>
        <w:fldChar w:fldCharType="begin"/>
      </w:r>
      <w:r>
        <w:instrText xml:space="preserve">PAGEREF __RefHeading___91925 \h</w:instrText>
      </w:r>
      <w:r>
        <w:fldChar w:fldCharType="separate"/>
      </w:r>
      <w:r>
        <w:t>65</w:t>
      </w:r>
      <w:r>
        <w:fldChar w:fldCharType="end"/>
      </w:r>
      <w:r>
        <w:fldChar w:fldCharType="end"/>
      </w:r>
    </w:p>
    <w:p w14:paraId="06756740">
      <w:pPr>
        <w:pStyle w:val="23"/>
        <w:tabs>
          <w:tab w:val="right" w:leader="dot" w:pos="9000"/>
        </w:tabs>
      </w:pPr>
      <w:r>
        <w:fldChar w:fldCharType="begin"/>
      </w:r>
      <w:r>
        <w:instrText xml:space="preserve"> HYPERLINK \l "__RefHeading___91926" </w:instrText>
      </w:r>
      <w:r>
        <w:fldChar w:fldCharType="separate"/>
      </w:r>
      <w:r>
        <w:t>6.3.3 For the Afghan Ministry of Public Health</w:t>
      </w:r>
      <w:r>
        <w:tab/>
      </w:r>
      <w:r>
        <w:fldChar w:fldCharType="begin"/>
      </w:r>
      <w:r>
        <w:instrText xml:space="preserve">PAGEREF __RefHeading___91926 \h</w:instrText>
      </w:r>
      <w:r>
        <w:fldChar w:fldCharType="separate"/>
      </w:r>
      <w:r>
        <w:t>66</w:t>
      </w:r>
      <w:r>
        <w:fldChar w:fldCharType="end"/>
      </w:r>
      <w:r>
        <w:fldChar w:fldCharType="end"/>
      </w:r>
    </w:p>
    <w:p w14:paraId="4E60A1B3">
      <w:pPr>
        <w:pStyle w:val="23"/>
        <w:tabs>
          <w:tab w:val="right" w:leader="dot" w:pos="9000"/>
        </w:tabs>
      </w:pPr>
      <w:r>
        <w:fldChar w:fldCharType="begin"/>
      </w:r>
      <w:r>
        <w:instrText xml:space="preserve"> HYPERLINK \l "__RefHeading___91927" </w:instrText>
      </w:r>
      <w:r>
        <w:fldChar w:fldCharType="separate"/>
      </w:r>
      <w:r>
        <w:t>6.3.4 For Future Research</w:t>
      </w:r>
      <w:r>
        <w:tab/>
      </w:r>
      <w:r>
        <w:fldChar w:fldCharType="begin"/>
      </w:r>
      <w:r>
        <w:instrText xml:space="preserve">PAGEREF __RefHeading___91927 \h</w:instrText>
      </w:r>
      <w:r>
        <w:fldChar w:fldCharType="separate"/>
      </w:r>
      <w:r>
        <w:t>66</w:t>
      </w:r>
      <w:r>
        <w:fldChar w:fldCharType="end"/>
      </w:r>
      <w:r>
        <w:fldChar w:fldCharType="end"/>
      </w:r>
    </w:p>
    <w:p w14:paraId="372E3CFB">
      <w:pPr>
        <w:pStyle w:val="22"/>
        <w:tabs>
          <w:tab w:val="right" w:leader="dot" w:pos="9000"/>
        </w:tabs>
      </w:pPr>
      <w:r>
        <w:fldChar w:fldCharType="begin"/>
      </w:r>
      <w:r>
        <w:instrText xml:space="preserve"> HYPERLINK \l "__RefHeading___91928" </w:instrText>
      </w:r>
      <w:r>
        <w:fldChar w:fldCharType="separate"/>
      </w:r>
      <w:r>
        <w:t>Overview</w:t>
      </w:r>
      <w:r>
        <w:tab/>
      </w:r>
      <w:r>
        <w:fldChar w:fldCharType="begin"/>
      </w:r>
      <w:r>
        <w:instrText xml:space="preserve">PAGEREF __RefHeading___91928 \h</w:instrText>
      </w:r>
      <w:r>
        <w:fldChar w:fldCharType="separate"/>
      </w:r>
      <w:r>
        <w:t>67</w:t>
      </w:r>
      <w:r>
        <w:fldChar w:fldCharType="end"/>
      </w:r>
      <w:r>
        <w:fldChar w:fldCharType="end"/>
      </w:r>
    </w:p>
    <w:p w14:paraId="3234CCB9">
      <w:pPr>
        <w:pStyle w:val="22"/>
        <w:tabs>
          <w:tab w:val="right" w:leader="dot" w:pos="9000"/>
        </w:tabs>
      </w:pPr>
      <w:r>
        <w:fldChar w:fldCharType="begin"/>
      </w:r>
      <w:r>
        <w:instrText xml:space="preserve"> HYPERLINK \l "__RefHeading___91929" </w:instrText>
      </w:r>
      <w:r>
        <w:fldChar w:fldCharType="separate"/>
      </w:r>
      <w:r>
        <w:t>Step 1 — The Scientific Problem: Why Afghanistan? Why Psoriasis and MetS?</w:t>
      </w:r>
      <w:r>
        <w:tab/>
      </w:r>
      <w:r>
        <w:fldChar w:fldCharType="begin"/>
      </w:r>
      <w:r>
        <w:instrText xml:space="preserve">PAGEREF __RefHeading___91929 \h</w:instrText>
      </w:r>
      <w:r>
        <w:fldChar w:fldCharType="separate"/>
      </w:r>
      <w:r>
        <w:t>67</w:t>
      </w:r>
      <w:r>
        <w:fldChar w:fldCharType="end"/>
      </w:r>
      <w:r>
        <w:fldChar w:fldCharType="end"/>
      </w:r>
    </w:p>
    <w:p w14:paraId="539092D2">
      <w:pPr>
        <w:pStyle w:val="22"/>
        <w:tabs>
          <w:tab w:val="right" w:leader="dot" w:pos="9000"/>
        </w:tabs>
      </w:pPr>
      <w:r>
        <w:fldChar w:fldCharType="begin"/>
      </w:r>
      <w:r>
        <w:instrText xml:space="preserve"> HYPERLINK \l "__RefHeading___91930" </w:instrText>
      </w:r>
      <w:r>
        <w:fldChar w:fldCharType="separate"/>
      </w:r>
      <w:r>
        <w:t>Step 2 — Study Design, Setting, and Population</w:t>
      </w:r>
      <w:r>
        <w:tab/>
      </w:r>
      <w:r>
        <w:fldChar w:fldCharType="begin"/>
      </w:r>
      <w:r>
        <w:instrText xml:space="preserve">PAGEREF __RefHeading___91930 \h</w:instrText>
      </w:r>
      <w:r>
        <w:fldChar w:fldCharType="separate"/>
      </w:r>
      <w:r>
        <w:t>69</w:t>
      </w:r>
      <w:r>
        <w:fldChar w:fldCharType="end"/>
      </w:r>
      <w:r>
        <w:fldChar w:fldCharType="end"/>
      </w:r>
    </w:p>
    <w:p w14:paraId="55D8061F">
      <w:pPr>
        <w:pStyle w:val="22"/>
        <w:tabs>
          <w:tab w:val="right" w:leader="dot" w:pos="9000"/>
        </w:tabs>
      </w:pPr>
      <w:r>
        <w:fldChar w:fldCharType="begin"/>
      </w:r>
      <w:r>
        <w:instrText xml:space="preserve"> HYPERLINK \l "__RefHeading___91931" </w:instrText>
      </w:r>
      <w:r>
        <w:fldChar w:fldCharType="separate"/>
      </w:r>
      <w:r>
        <w:t>Step 3 — Data Collection and Measurement</w:t>
      </w:r>
      <w:r>
        <w:tab/>
      </w:r>
      <w:r>
        <w:fldChar w:fldCharType="begin"/>
      </w:r>
      <w:r>
        <w:instrText xml:space="preserve">PAGEREF __RefHeading___91931 \h</w:instrText>
      </w:r>
      <w:r>
        <w:fldChar w:fldCharType="separate"/>
      </w:r>
      <w:r>
        <w:t>69</w:t>
      </w:r>
      <w:r>
        <w:fldChar w:fldCharType="end"/>
      </w:r>
      <w:r>
        <w:fldChar w:fldCharType="end"/>
      </w:r>
    </w:p>
    <w:p w14:paraId="582A08A0">
      <w:pPr>
        <w:pStyle w:val="22"/>
        <w:tabs>
          <w:tab w:val="right" w:leader="dot" w:pos="9000"/>
        </w:tabs>
      </w:pPr>
      <w:r>
        <w:fldChar w:fldCharType="begin"/>
      </w:r>
      <w:r>
        <w:instrText xml:space="preserve"> HYPERLINK \l "__RefHeading___91932" </w:instrText>
      </w:r>
      <w:r>
        <w:fldChar w:fldCharType="separate"/>
      </w:r>
      <w:r>
        <w:t>Step 4 — Primary Results: Prevalence and Independent Association</w:t>
      </w:r>
      <w:r>
        <w:tab/>
      </w:r>
      <w:r>
        <w:fldChar w:fldCharType="begin"/>
      </w:r>
      <w:r>
        <w:instrText xml:space="preserve">PAGEREF __RefHeading___91932 \h</w:instrText>
      </w:r>
      <w:r>
        <w:fldChar w:fldCharType="separate"/>
      </w:r>
      <w:r>
        <w:t>70</w:t>
      </w:r>
      <w:r>
        <w:fldChar w:fldCharType="end"/>
      </w:r>
      <w:r>
        <w:fldChar w:fldCharType="end"/>
      </w:r>
    </w:p>
    <w:p w14:paraId="1C4901CA">
      <w:pPr>
        <w:pStyle w:val="22"/>
        <w:tabs>
          <w:tab w:val="right" w:leader="dot" w:pos="9000"/>
        </w:tabs>
      </w:pPr>
      <w:r>
        <w:fldChar w:fldCharType="begin"/>
      </w:r>
      <w:r>
        <w:instrText xml:space="preserve"> HYPERLINK \l "__RefHeading___91933" </w:instrText>
      </w:r>
      <w:r>
        <w:fldChar w:fldCharType="separate"/>
      </w:r>
      <w:r>
        <w:t>Step 5 — Individual Metabolic Syndrome Components</w:t>
      </w:r>
      <w:r>
        <w:tab/>
      </w:r>
      <w:r>
        <w:fldChar w:fldCharType="begin"/>
      </w:r>
      <w:r>
        <w:instrText xml:space="preserve">PAGEREF __RefHeading___91933 \h</w:instrText>
      </w:r>
      <w:r>
        <w:fldChar w:fldCharType="separate"/>
      </w:r>
      <w:r>
        <w:t>71</w:t>
      </w:r>
      <w:r>
        <w:fldChar w:fldCharType="end"/>
      </w:r>
      <w:r>
        <w:fldChar w:fldCharType="end"/>
      </w:r>
    </w:p>
    <w:p w14:paraId="1ACD5E28">
      <w:pPr>
        <w:pStyle w:val="22"/>
        <w:tabs>
          <w:tab w:val="right" w:leader="dot" w:pos="9000"/>
        </w:tabs>
      </w:pPr>
      <w:r>
        <w:fldChar w:fldCharType="begin"/>
      </w:r>
      <w:r>
        <w:instrText xml:space="preserve"> HYPERLINK \l "__RefHeading___91934" </w:instrText>
      </w:r>
      <w:r>
        <w:fldChar w:fldCharType="separate"/>
      </w:r>
      <w:r>
        <w:t>Step 6 — The Dose-Response Relationship: Causal Evidence</w:t>
      </w:r>
      <w:r>
        <w:tab/>
      </w:r>
      <w:r>
        <w:fldChar w:fldCharType="begin"/>
      </w:r>
      <w:r>
        <w:instrText xml:space="preserve">PAGEREF __RefHeading___91934 \h</w:instrText>
      </w:r>
      <w:r>
        <w:fldChar w:fldCharType="separate"/>
      </w:r>
      <w:r>
        <w:t>72</w:t>
      </w:r>
      <w:r>
        <w:fldChar w:fldCharType="end"/>
      </w:r>
      <w:r>
        <w:fldChar w:fldCharType="end"/>
      </w:r>
    </w:p>
    <w:p w14:paraId="3A45E3AE">
      <w:pPr>
        <w:pStyle w:val="22"/>
        <w:tabs>
          <w:tab w:val="right" w:leader="dot" w:pos="9000"/>
        </w:tabs>
      </w:pPr>
      <w:r>
        <w:fldChar w:fldCharType="begin"/>
      </w:r>
      <w:r>
        <w:instrText xml:space="preserve"> HYPERLINK \l "__RefHeading___91935" </w:instrText>
      </w:r>
      <w:r>
        <w:fldChar w:fldCharType="separate"/>
      </w:r>
      <w:r>
        <w:t>Step 7 — Psychosocial Burden and the Behavioural Pathway</w:t>
      </w:r>
      <w:r>
        <w:tab/>
      </w:r>
      <w:r>
        <w:fldChar w:fldCharType="begin"/>
      </w:r>
      <w:r>
        <w:instrText xml:space="preserve">PAGEREF __RefHeading___91935 \h</w:instrText>
      </w:r>
      <w:r>
        <w:fldChar w:fldCharType="separate"/>
      </w:r>
      <w:r>
        <w:t>73</w:t>
      </w:r>
      <w:r>
        <w:fldChar w:fldCharType="end"/>
      </w:r>
      <w:r>
        <w:fldChar w:fldCharType="end"/>
      </w:r>
    </w:p>
    <w:p w14:paraId="556C8CC3">
      <w:pPr>
        <w:pStyle w:val="22"/>
        <w:tabs>
          <w:tab w:val="right" w:leader="dot" w:pos="9000"/>
        </w:tabs>
      </w:pPr>
      <w:r>
        <w:fldChar w:fldCharType="begin"/>
      </w:r>
      <w:r>
        <w:instrText xml:space="preserve"> HYPERLINK \l "__RefHeading___91936" </w:instrText>
      </w:r>
      <w:r>
        <w:fldChar w:fldCharType="separate"/>
      </w:r>
      <w:r>
        <w:t>Step 8 — Comparison with Global and Regional Evidence</w:t>
      </w:r>
      <w:r>
        <w:tab/>
      </w:r>
      <w:r>
        <w:fldChar w:fldCharType="begin"/>
      </w:r>
      <w:r>
        <w:instrText xml:space="preserve">PAGEREF __RefHeading___91936 \h</w:instrText>
      </w:r>
      <w:r>
        <w:fldChar w:fldCharType="separate"/>
      </w:r>
      <w:r>
        <w:t>73</w:t>
      </w:r>
      <w:r>
        <w:fldChar w:fldCharType="end"/>
      </w:r>
      <w:r>
        <w:fldChar w:fldCharType="end"/>
      </w:r>
    </w:p>
    <w:p w14:paraId="07D33FC3">
      <w:pPr>
        <w:pStyle w:val="22"/>
        <w:tabs>
          <w:tab w:val="right" w:leader="dot" w:pos="9000"/>
        </w:tabs>
      </w:pPr>
      <w:r>
        <w:fldChar w:fldCharType="begin"/>
      </w:r>
      <w:r>
        <w:instrText xml:space="preserve"> HYPERLINK \l "__RefHeading___91937" </w:instrText>
      </w:r>
      <w:r>
        <w:fldChar w:fldCharType="separate"/>
      </w:r>
      <w:r>
        <w:t>Step 9 — Clinical and Policy Implications</w:t>
      </w:r>
      <w:r>
        <w:tab/>
      </w:r>
      <w:r>
        <w:fldChar w:fldCharType="begin"/>
      </w:r>
      <w:r>
        <w:instrText xml:space="preserve">PAGEREF __RefHeading___91937 \h</w:instrText>
      </w:r>
      <w:r>
        <w:fldChar w:fldCharType="separate"/>
      </w:r>
      <w:r>
        <w:t>74</w:t>
      </w:r>
      <w:r>
        <w:fldChar w:fldCharType="end"/>
      </w:r>
      <w:r>
        <w:fldChar w:fldCharType="end"/>
      </w:r>
    </w:p>
    <w:p w14:paraId="0935104E">
      <w:pPr>
        <w:pStyle w:val="22"/>
        <w:tabs>
          <w:tab w:val="right" w:leader="dot" w:pos="9000"/>
        </w:tabs>
      </w:pPr>
      <w:r>
        <w:fldChar w:fldCharType="begin"/>
      </w:r>
      <w:r>
        <w:instrText xml:space="preserve"> HYPERLINK \l "__RefHeading___91938" </w:instrText>
      </w:r>
      <w:r>
        <w:fldChar w:fldCharType="separate"/>
      </w:r>
      <w:r>
        <w:t>Step 10 — Strengths, Limitations, and Future Research</w:t>
      </w:r>
      <w:r>
        <w:tab/>
      </w:r>
      <w:r>
        <w:fldChar w:fldCharType="begin"/>
      </w:r>
      <w:r>
        <w:instrText xml:space="preserve">PAGEREF __RefHeading___91938 \h</w:instrText>
      </w:r>
      <w:r>
        <w:fldChar w:fldCharType="separate"/>
      </w:r>
      <w:r>
        <w:t>75</w:t>
      </w:r>
      <w:r>
        <w:fldChar w:fldCharType="end"/>
      </w:r>
      <w:r>
        <w:fldChar w:fldCharType="end"/>
      </w:r>
    </w:p>
    <w:p w14:paraId="6B6F71F1">
      <w:pPr>
        <w:pStyle w:val="22"/>
        <w:tabs>
          <w:tab w:val="right" w:leader="dot" w:pos="9000"/>
        </w:tabs>
      </w:pPr>
      <w:r>
        <w:fldChar w:fldCharType="begin"/>
      </w:r>
      <w:r>
        <w:instrText xml:space="preserve"> HYPERLINK \l "__RefHeading___91939" </w:instrText>
      </w:r>
      <w:r>
        <w:fldChar w:fldCharType="separate"/>
      </w:r>
      <w:r>
        <w:t>Concluding Statement</w:t>
      </w:r>
      <w:r>
        <w:tab/>
      </w:r>
      <w:r>
        <w:fldChar w:fldCharType="begin"/>
      </w:r>
      <w:r>
        <w:instrText xml:space="preserve">PAGEREF __RefHeading___91939 \h</w:instrText>
      </w:r>
      <w:r>
        <w:fldChar w:fldCharType="separate"/>
      </w:r>
      <w:r>
        <w:t>75</w:t>
      </w:r>
      <w:r>
        <w:fldChar w:fldCharType="end"/>
      </w:r>
      <w:r>
        <w:fldChar w:fldCharType="end"/>
      </w:r>
    </w:p>
    <w:p w14:paraId="3D31CB2E">
      <w:pPr>
        <w:pStyle w:val="21"/>
        <w:tabs>
          <w:tab w:val="right" w:leader="dot" w:pos="9000"/>
        </w:tabs>
      </w:pPr>
      <w:r>
        <w:fldChar w:fldCharType="begin"/>
      </w:r>
      <w:r>
        <w:instrText xml:space="preserve"> HYPERLINK \l "__RefHeading___91940" </w:instrText>
      </w:r>
      <w:r>
        <w:fldChar w:fldCharType="separate"/>
      </w:r>
      <w:r>
        <w:t>Appendices</w:t>
      </w:r>
      <w:r>
        <w:tab/>
      </w:r>
      <w:r>
        <w:fldChar w:fldCharType="begin"/>
      </w:r>
      <w:r>
        <w:instrText xml:space="preserve">PAGEREF __RefHeading___91940 \h</w:instrText>
      </w:r>
      <w:r>
        <w:fldChar w:fldCharType="separate"/>
      </w:r>
      <w:r>
        <w:t>84</w:t>
      </w:r>
      <w:r>
        <w:fldChar w:fldCharType="end"/>
      </w:r>
      <w:r>
        <w:fldChar w:fldCharType="end"/>
      </w:r>
    </w:p>
    <w:p w14:paraId="290A2A99">
      <w:pPr>
        <w:pStyle w:val="21"/>
        <w:tabs>
          <w:tab w:val="right" w:leader="dot" w:pos="9000"/>
        </w:tabs>
      </w:pPr>
      <w:r>
        <w:fldChar w:fldCharType="begin"/>
      </w:r>
      <w:r>
        <w:instrText xml:space="preserve"> HYPERLINK \l "__RefHeading___91941" </w:instrText>
      </w:r>
      <w:r>
        <w:fldChar w:fldCharType="separate"/>
      </w:r>
      <w:r>
        <w:t>__________________________________________________</w:t>
      </w:r>
      <w:r>
        <w:tab/>
      </w:r>
      <w:r>
        <w:fldChar w:fldCharType="begin"/>
      </w:r>
      <w:r>
        <w:instrText xml:space="preserve">PAGEREF __RefHeading___91941 \h</w:instrText>
      </w:r>
      <w:r>
        <w:fldChar w:fldCharType="separate"/>
      </w:r>
      <w:r>
        <w:t>84</w:t>
      </w:r>
      <w:r>
        <w:fldChar w:fldCharType="end"/>
      </w:r>
      <w:r>
        <w:fldChar w:fldCharType="end"/>
      </w:r>
    </w:p>
    <w:p w14:paraId="3AB25494">
      <w:pPr>
        <w:pStyle w:val="22"/>
        <w:tabs>
          <w:tab w:val="right" w:leader="dot" w:pos="9000"/>
        </w:tabs>
      </w:pPr>
      <w:r>
        <w:fldChar w:fldCharType="begin"/>
      </w:r>
      <w:r>
        <w:instrText xml:space="preserve"> HYPERLINK \l "__RefHeading___91942" </w:instrText>
      </w:r>
      <w:r>
        <w:fldChar w:fldCharType="separate"/>
      </w:r>
      <w:r>
        <w:t>Appendix I: Participant Information Sheet and Informed Consent Form</w:t>
      </w:r>
      <w:r>
        <w:tab/>
      </w:r>
      <w:r>
        <w:fldChar w:fldCharType="begin"/>
      </w:r>
      <w:r>
        <w:instrText xml:space="preserve">PAGEREF __RefHeading___91942 \h</w:instrText>
      </w:r>
      <w:r>
        <w:fldChar w:fldCharType="separate"/>
      </w:r>
      <w:r>
        <w:t>84</w:t>
      </w:r>
      <w:r>
        <w:fldChar w:fldCharType="end"/>
      </w:r>
      <w:r>
        <w:fldChar w:fldCharType="end"/>
      </w:r>
    </w:p>
    <w:p w14:paraId="4308D220">
      <w:pPr>
        <w:pStyle w:val="22"/>
        <w:tabs>
          <w:tab w:val="right" w:leader="dot" w:pos="9000"/>
        </w:tabs>
      </w:pPr>
      <w:r>
        <w:fldChar w:fldCharType="begin"/>
      </w:r>
      <w:r>
        <w:instrText xml:space="preserve"> HYPERLINK \l "__RefHeading___91943" </w:instrText>
      </w:r>
      <w:r>
        <w:fldChar w:fldCharType="separate"/>
      </w:r>
      <w:r>
        <w:t>Appendix II: Data Collection Questionnaire (Summary)</w:t>
      </w:r>
      <w:r>
        <w:tab/>
      </w:r>
      <w:r>
        <w:fldChar w:fldCharType="begin"/>
      </w:r>
      <w:r>
        <w:instrText xml:space="preserve">PAGEREF __RefHeading___91943 \h</w:instrText>
      </w:r>
      <w:r>
        <w:fldChar w:fldCharType="separate"/>
      </w:r>
      <w:r>
        <w:t>86</w:t>
      </w:r>
      <w:r>
        <w:fldChar w:fldCharType="end"/>
      </w:r>
      <w:r>
        <w:fldChar w:fldCharType="end"/>
      </w:r>
    </w:p>
    <w:p w14:paraId="0E0A60BE">
      <w:r>
        <w:fldChar w:fldCharType="end"/>
      </w:r>
      <w:bookmarkStart w:id="0" w:name="__RefHeading___91821"/>
      <w:bookmarkEnd w:id="0"/>
      <w:r>
        <w:t xml:space="preserve">                                            </w:t>
      </w:r>
    </w:p>
    <w:p w14:paraId="0F8F213B">
      <w:pPr>
        <w:rPr>
          <w:sz w:val="27"/>
          <w:szCs w:val="27"/>
        </w:rPr>
      </w:pPr>
      <w:r>
        <w:t xml:space="preserve">                                                  </w:t>
      </w:r>
      <w:r>
        <w:rPr>
          <w:b/>
          <w:sz w:val="27"/>
          <w:szCs w:val="27"/>
        </w:rPr>
        <w:t>List of Abbreviations</w:t>
      </w:r>
    </w:p>
    <w:p w14:paraId="79B43ED9">
      <w:pPr>
        <w:pStyle w:val="2"/>
        <w:jc w:val="center"/>
        <w:rPr>
          <w:b/>
          <w:color w:val="000000"/>
          <w:sz w:val="27"/>
          <w:szCs w:val="27"/>
        </w:rPr>
      </w:pPr>
      <w:bookmarkStart w:id="1" w:name="__RefHeading___91822"/>
      <w:bookmarkEnd w:id="1"/>
      <w:r>
        <w:rPr>
          <w:b/>
          <w:color w:val="000000"/>
          <w:sz w:val="27"/>
          <w:szCs w:val="27"/>
        </w:rPr>
        <w:t>__________________________________________________</w:t>
      </w:r>
    </w:p>
    <w:p w14:paraId="5ED82BC3">
      <w:pPr>
        <w:pStyle w:val="2"/>
        <w:rPr>
          <w:b/>
          <w:color w:val="000000"/>
          <w:sz w:val="27"/>
          <w:szCs w:val="27"/>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5"/>
        <w:gridCol w:w="6885"/>
      </w:tblGrid>
      <w:tr w14:paraId="40747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D0C5A81">
            <w:pPr>
              <w:spacing w:line="360" w:lineRule="auto"/>
              <w:jc w:val="both"/>
              <w:rPr>
                <w:sz w:val="27"/>
                <w:szCs w:val="27"/>
              </w:rPr>
            </w:pPr>
            <w:r>
              <w:rPr>
                <w:b/>
                <w:sz w:val="27"/>
                <w:szCs w:val="27"/>
              </w:rPr>
              <w:t>Abbreviation</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90FFFAE">
            <w:pPr>
              <w:spacing w:line="360" w:lineRule="auto"/>
              <w:jc w:val="both"/>
              <w:rPr>
                <w:sz w:val="27"/>
                <w:szCs w:val="27"/>
              </w:rPr>
            </w:pPr>
            <w:r>
              <w:rPr>
                <w:b/>
                <w:sz w:val="27"/>
                <w:szCs w:val="27"/>
              </w:rPr>
              <w:t>Full Meaning</w:t>
            </w:r>
          </w:p>
        </w:tc>
      </w:tr>
      <w:tr w14:paraId="2609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33ECE14">
            <w:pPr>
              <w:spacing w:line="360" w:lineRule="auto"/>
              <w:jc w:val="both"/>
              <w:rPr>
                <w:sz w:val="27"/>
                <w:szCs w:val="27"/>
              </w:rPr>
            </w:pPr>
            <w:r>
              <w:rPr>
                <w:sz w:val="27"/>
                <w:szCs w:val="27"/>
              </w:rPr>
              <w:t>BMI</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9351F73">
            <w:pPr>
              <w:spacing w:line="360" w:lineRule="auto"/>
              <w:jc w:val="both"/>
              <w:rPr>
                <w:sz w:val="27"/>
                <w:szCs w:val="27"/>
              </w:rPr>
            </w:pPr>
            <w:r>
              <w:rPr>
                <w:sz w:val="27"/>
                <w:szCs w:val="27"/>
              </w:rPr>
              <w:t>Body Mass Index</w:t>
            </w:r>
          </w:p>
        </w:tc>
      </w:tr>
      <w:tr w14:paraId="1725B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C803791">
            <w:pPr>
              <w:spacing w:line="360" w:lineRule="auto"/>
              <w:jc w:val="both"/>
              <w:rPr>
                <w:sz w:val="27"/>
                <w:szCs w:val="27"/>
              </w:rPr>
            </w:pPr>
            <w:r>
              <w:rPr>
                <w:sz w:val="27"/>
                <w:szCs w:val="27"/>
              </w:rPr>
              <w:t>BP</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37F2543">
            <w:pPr>
              <w:spacing w:line="360" w:lineRule="auto"/>
              <w:jc w:val="both"/>
              <w:rPr>
                <w:sz w:val="27"/>
                <w:szCs w:val="27"/>
              </w:rPr>
            </w:pPr>
            <w:r>
              <w:rPr>
                <w:sz w:val="27"/>
                <w:szCs w:val="27"/>
              </w:rPr>
              <w:t>Blood Pressure</w:t>
            </w:r>
          </w:p>
        </w:tc>
      </w:tr>
      <w:tr w14:paraId="60584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5D05154">
            <w:pPr>
              <w:spacing w:line="360" w:lineRule="auto"/>
              <w:jc w:val="both"/>
              <w:rPr>
                <w:sz w:val="27"/>
                <w:szCs w:val="27"/>
              </w:rPr>
            </w:pPr>
            <w:r>
              <w:rPr>
                <w:sz w:val="27"/>
                <w:szCs w:val="27"/>
              </w:rPr>
              <w:t>CI</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619D325">
            <w:pPr>
              <w:spacing w:line="360" w:lineRule="auto"/>
              <w:jc w:val="both"/>
              <w:rPr>
                <w:sz w:val="27"/>
                <w:szCs w:val="27"/>
              </w:rPr>
            </w:pPr>
            <w:r>
              <w:rPr>
                <w:sz w:val="27"/>
                <w:szCs w:val="27"/>
              </w:rPr>
              <w:t>Confidence Interval</w:t>
            </w:r>
          </w:p>
        </w:tc>
      </w:tr>
      <w:tr w14:paraId="62B25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F4BA600">
            <w:pPr>
              <w:spacing w:line="360" w:lineRule="auto"/>
              <w:jc w:val="both"/>
              <w:rPr>
                <w:sz w:val="27"/>
                <w:szCs w:val="27"/>
              </w:rPr>
            </w:pPr>
            <w:r>
              <w:rPr>
                <w:sz w:val="27"/>
                <w:szCs w:val="27"/>
              </w:rPr>
              <w:t>HDL-C</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C64742A">
            <w:pPr>
              <w:spacing w:line="360" w:lineRule="auto"/>
              <w:jc w:val="both"/>
              <w:rPr>
                <w:sz w:val="27"/>
                <w:szCs w:val="27"/>
              </w:rPr>
            </w:pPr>
            <w:r>
              <w:rPr>
                <w:sz w:val="27"/>
                <w:szCs w:val="27"/>
              </w:rPr>
              <w:t>High-Density Lipoprotein Cholesterol ('Good' Cholesterol)</w:t>
            </w:r>
          </w:p>
        </w:tc>
      </w:tr>
      <w:tr w14:paraId="2C108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BF0CBA9">
            <w:pPr>
              <w:spacing w:line="360" w:lineRule="auto"/>
              <w:jc w:val="both"/>
              <w:rPr>
                <w:sz w:val="27"/>
                <w:szCs w:val="27"/>
              </w:rPr>
            </w:pPr>
            <w:r>
              <w:rPr>
                <w:sz w:val="27"/>
                <w:szCs w:val="27"/>
              </w:rPr>
              <w:t>IDF</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B0F0778">
            <w:pPr>
              <w:spacing w:line="360" w:lineRule="auto"/>
              <w:jc w:val="both"/>
              <w:rPr>
                <w:sz w:val="27"/>
                <w:szCs w:val="27"/>
              </w:rPr>
            </w:pPr>
            <w:r>
              <w:rPr>
                <w:sz w:val="27"/>
                <w:szCs w:val="27"/>
              </w:rPr>
              <w:t>International Diabetes Federation</w:t>
            </w:r>
          </w:p>
        </w:tc>
      </w:tr>
      <w:tr w14:paraId="4A27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6064C53">
            <w:pPr>
              <w:spacing w:line="360" w:lineRule="auto"/>
              <w:jc w:val="both"/>
              <w:rPr>
                <w:sz w:val="27"/>
                <w:szCs w:val="27"/>
              </w:rPr>
            </w:pPr>
            <w:r>
              <w:rPr>
                <w:sz w:val="27"/>
                <w:szCs w:val="27"/>
              </w:rPr>
              <w:t>IL-17</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C25F2F4">
            <w:pPr>
              <w:spacing w:line="360" w:lineRule="auto"/>
              <w:jc w:val="both"/>
              <w:rPr>
                <w:sz w:val="27"/>
                <w:szCs w:val="27"/>
              </w:rPr>
            </w:pPr>
            <w:r>
              <w:rPr>
                <w:sz w:val="27"/>
                <w:szCs w:val="27"/>
              </w:rPr>
              <w:t>Interleukin-17 (an inflammatory cytokine)</w:t>
            </w:r>
          </w:p>
        </w:tc>
      </w:tr>
      <w:tr w14:paraId="6019C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68D1362">
            <w:pPr>
              <w:spacing w:line="360" w:lineRule="auto"/>
              <w:jc w:val="both"/>
              <w:rPr>
                <w:sz w:val="27"/>
                <w:szCs w:val="27"/>
              </w:rPr>
            </w:pPr>
            <w:r>
              <w:rPr>
                <w:sz w:val="27"/>
                <w:szCs w:val="27"/>
              </w:rPr>
              <w:t>IL-23</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573589C">
            <w:pPr>
              <w:spacing w:line="360" w:lineRule="auto"/>
              <w:jc w:val="both"/>
              <w:rPr>
                <w:sz w:val="27"/>
                <w:szCs w:val="27"/>
              </w:rPr>
            </w:pPr>
            <w:r>
              <w:rPr>
                <w:sz w:val="27"/>
                <w:szCs w:val="27"/>
              </w:rPr>
              <w:t>Interleukin-23 (an inflammatory cytokine)</w:t>
            </w:r>
          </w:p>
        </w:tc>
      </w:tr>
      <w:tr w14:paraId="2D53E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04D3ED1">
            <w:pPr>
              <w:spacing w:line="360" w:lineRule="auto"/>
              <w:jc w:val="both"/>
              <w:rPr>
                <w:sz w:val="27"/>
                <w:szCs w:val="27"/>
              </w:rPr>
            </w:pPr>
            <w:r>
              <w:rPr>
                <w:sz w:val="27"/>
                <w:szCs w:val="27"/>
              </w:rPr>
              <w:t>IRB</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52B0EE4">
            <w:pPr>
              <w:spacing w:line="360" w:lineRule="auto"/>
              <w:jc w:val="both"/>
              <w:rPr>
                <w:sz w:val="27"/>
                <w:szCs w:val="27"/>
              </w:rPr>
            </w:pPr>
            <w:r>
              <w:rPr>
                <w:sz w:val="27"/>
                <w:szCs w:val="27"/>
              </w:rPr>
              <w:t>Institutional Review Board</w:t>
            </w:r>
          </w:p>
        </w:tc>
      </w:tr>
      <w:tr w14:paraId="51B29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3F5EE8C">
            <w:pPr>
              <w:spacing w:line="360" w:lineRule="auto"/>
              <w:jc w:val="both"/>
              <w:rPr>
                <w:sz w:val="27"/>
                <w:szCs w:val="27"/>
              </w:rPr>
            </w:pPr>
            <w:r>
              <w:rPr>
                <w:sz w:val="27"/>
                <w:szCs w:val="27"/>
              </w:rPr>
              <w:t>LDL-C</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A9F0760">
            <w:pPr>
              <w:spacing w:line="360" w:lineRule="auto"/>
              <w:jc w:val="both"/>
              <w:rPr>
                <w:sz w:val="27"/>
                <w:szCs w:val="27"/>
              </w:rPr>
            </w:pPr>
            <w:r>
              <w:rPr>
                <w:sz w:val="27"/>
                <w:szCs w:val="27"/>
              </w:rPr>
              <w:t>Low-Density Lipoprotein Cholesterol</w:t>
            </w:r>
          </w:p>
        </w:tc>
      </w:tr>
      <w:tr w14:paraId="6B5D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15C10EF">
            <w:pPr>
              <w:spacing w:line="360" w:lineRule="auto"/>
              <w:jc w:val="both"/>
              <w:rPr>
                <w:sz w:val="27"/>
                <w:szCs w:val="27"/>
              </w:rPr>
            </w:pPr>
            <w:r>
              <w:rPr>
                <w:sz w:val="27"/>
                <w:szCs w:val="27"/>
              </w:rPr>
              <w:t>MetS</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5662878">
            <w:pPr>
              <w:spacing w:line="360" w:lineRule="auto"/>
              <w:jc w:val="both"/>
              <w:rPr>
                <w:sz w:val="27"/>
                <w:szCs w:val="27"/>
              </w:rPr>
            </w:pPr>
            <w:r>
              <w:rPr>
                <w:sz w:val="27"/>
                <w:szCs w:val="27"/>
              </w:rPr>
              <w:t>Metabolic Syndrome</w:t>
            </w:r>
          </w:p>
        </w:tc>
      </w:tr>
      <w:tr w14:paraId="00B65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988E36D">
            <w:pPr>
              <w:spacing w:line="360" w:lineRule="auto"/>
              <w:jc w:val="both"/>
              <w:rPr>
                <w:sz w:val="27"/>
                <w:szCs w:val="27"/>
              </w:rPr>
            </w:pPr>
            <w:r>
              <w:rPr>
                <w:sz w:val="27"/>
                <w:szCs w:val="27"/>
              </w:rPr>
              <w:t>NCEP ATP III</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3E572A8">
            <w:pPr>
              <w:spacing w:line="360" w:lineRule="auto"/>
              <w:jc w:val="both"/>
              <w:rPr>
                <w:sz w:val="27"/>
                <w:szCs w:val="27"/>
              </w:rPr>
            </w:pPr>
            <w:r>
              <w:rPr>
                <w:sz w:val="27"/>
                <w:szCs w:val="27"/>
              </w:rPr>
              <w:t>National Cholesterol Education Program Adult Treatment Panel III</w:t>
            </w:r>
          </w:p>
        </w:tc>
      </w:tr>
      <w:tr w14:paraId="29AEF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43CA0D5">
            <w:pPr>
              <w:spacing w:line="360" w:lineRule="auto"/>
              <w:jc w:val="both"/>
              <w:rPr>
                <w:sz w:val="27"/>
                <w:szCs w:val="27"/>
              </w:rPr>
            </w:pPr>
            <w:r>
              <w:rPr>
                <w:sz w:val="27"/>
                <w:szCs w:val="27"/>
              </w:rPr>
              <w:t>OR</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A392E63">
            <w:pPr>
              <w:spacing w:line="360" w:lineRule="auto"/>
              <w:jc w:val="both"/>
              <w:rPr>
                <w:sz w:val="27"/>
                <w:szCs w:val="27"/>
              </w:rPr>
            </w:pPr>
            <w:r>
              <w:rPr>
                <w:sz w:val="27"/>
                <w:szCs w:val="27"/>
              </w:rPr>
              <w:t>Odds Ratio</w:t>
            </w:r>
          </w:p>
        </w:tc>
      </w:tr>
      <w:tr w14:paraId="49564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7A5CC6E">
            <w:pPr>
              <w:spacing w:line="360" w:lineRule="auto"/>
              <w:jc w:val="both"/>
              <w:rPr>
                <w:sz w:val="27"/>
                <w:szCs w:val="27"/>
              </w:rPr>
            </w:pPr>
            <w:r>
              <w:rPr>
                <w:sz w:val="27"/>
                <w:szCs w:val="27"/>
              </w:rPr>
              <w:t>PASI</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977F041">
            <w:pPr>
              <w:spacing w:line="360" w:lineRule="auto"/>
              <w:jc w:val="both"/>
              <w:rPr>
                <w:sz w:val="27"/>
                <w:szCs w:val="27"/>
              </w:rPr>
            </w:pPr>
            <w:r>
              <w:rPr>
                <w:sz w:val="27"/>
                <w:szCs w:val="27"/>
              </w:rPr>
              <w:t>Psoriasis Area and Severity Index</w:t>
            </w:r>
          </w:p>
        </w:tc>
      </w:tr>
      <w:tr w14:paraId="10B88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DEFBEA6">
            <w:pPr>
              <w:spacing w:line="360" w:lineRule="auto"/>
              <w:jc w:val="both"/>
              <w:rPr>
                <w:sz w:val="27"/>
                <w:szCs w:val="27"/>
              </w:rPr>
            </w:pPr>
            <w:r>
              <w:rPr>
                <w:sz w:val="27"/>
                <w:szCs w:val="27"/>
              </w:rPr>
              <w:t>SPSS</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BEEF9E8">
            <w:pPr>
              <w:spacing w:line="360" w:lineRule="auto"/>
              <w:jc w:val="both"/>
              <w:rPr>
                <w:sz w:val="27"/>
                <w:szCs w:val="27"/>
              </w:rPr>
            </w:pPr>
            <w:r>
              <w:rPr>
                <w:sz w:val="27"/>
                <w:szCs w:val="27"/>
              </w:rPr>
              <w:t>Statistical Package for the Social Sciences</w:t>
            </w:r>
          </w:p>
        </w:tc>
      </w:tr>
      <w:tr w14:paraId="4259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3550C41">
            <w:pPr>
              <w:spacing w:line="360" w:lineRule="auto"/>
              <w:jc w:val="both"/>
              <w:rPr>
                <w:sz w:val="27"/>
                <w:szCs w:val="27"/>
              </w:rPr>
            </w:pPr>
            <w:r>
              <w:rPr>
                <w:sz w:val="27"/>
                <w:szCs w:val="27"/>
              </w:rPr>
              <w:t>TNF-α</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14C4198">
            <w:pPr>
              <w:spacing w:line="360" w:lineRule="auto"/>
              <w:jc w:val="both"/>
              <w:rPr>
                <w:sz w:val="27"/>
                <w:szCs w:val="27"/>
              </w:rPr>
            </w:pPr>
            <w:r>
              <w:rPr>
                <w:sz w:val="27"/>
                <w:szCs w:val="27"/>
              </w:rPr>
              <w:t>Tumour Necrosis Factor-alpha (an inflammatory cytokine)</w:t>
            </w:r>
          </w:p>
        </w:tc>
      </w:tr>
      <w:tr w14:paraId="47681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D475E6A">
            <w:pPr>
              <w:spacing w:line="360" w:lineRule="auto"/>
              <w:jc w:val="both"/>
              <w:rPr>
                <w:sz w:val="27"/>
                <w:szCs w:val="27"/>
              </w:rPr>
            </w:pPr>
            <w:r>
              <w:rPr>
                <w:sz w:val="27"/>
                <w:szCs w:val="27"/>
              </w:rPr>
              <w:t>WC</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6E9C832">
            <w:pPr>
              <w:spacing w:line="360" w:lineRule="auto"/>
              <w:jc w:val="both"/>
              <w:rPr>
                <w:sz w:val="27"/>
                <w:szCs w:val="27"/>
              </w:rPr>
            </w:pPr>
            <w:r>
              <w:rPr>
                <w:sz w:val="27"/>
                <w:szCs w:val="27"/>
              </w:rPr>
              <w:t>Waist Circumference</w:t>
            </w:r>
          </w:p>
        </w:tc>
      </w:tr>
      <w:tr w14:paraId="72082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1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EC7DF32">
            <w:pPr>
              <w:spacing w:line="360" w:lineRule="auto"/>
              <w:jc w:val="both"/>
              <w:rPr>
                <w:sz w:val="27"/>
                <w:szCs w:val="27"/>
              </w:rPr>
            </w:pPr>
            <w:r>
              <w:rPr>
                <w:sz w:val="27"/>
                <w:szCs w:val="27"/>
              </w:rPr>
              <w:t>WHO</w:t>
            </w:r>
          </w:p>
        </w:tc>
        <w:tc>
          <w:tcPr>
            <w:tcW w:w="68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6727E42">
            <w:pPr>
              <w:spacing w:line="360" w:lineRule="auto"/>
              <w:jc w:val="both"/>
              <w:rPr>
                <w:sz w:val="27"/>
                <w:szCs w:val="27"/>
              </w:rPr>
            </w:pPr>
            <w:r>
              <w:rPr>
                <w:sz w:val="27"/>
                <w:szCs w:val="27"/>
              </w:rPr>
              <w:t>World Health Organization</w:t>
            </w:r>
          </w:p>
        </w:tc>
      </w:tr>
    </w:tbl>
    <w:p w14:paraId="4BB84E4F">
      <w:pPr>
        <w:spacing w:line="360" w:lineRule="auto"/>
        <w:jc w:val="both"/>
        <w:rPr>
          <w:sz w:val="28"/>
        </w:rPr>
      </w:pPr>
    </w:p>
    <w:p w14:paraId="21616A27">
      <w:pPr>
        <w:pStyle w:val="2"/>
        <w:rPr>
          <w:b/>
          <w:color w:val="000000"/>
          <w:sz w:val="36"/>
        </w:rPr>
      </w:pPr>
      <w:bookmarkStart w:id="2" w:name="__RefHeading___91823"/>
      <w:bookmarkEnd w:id="2"/>
      <w:r>
        <w:rPr>
          <w:b/>
          <w:color w:val="000000"/>
          <w:sz w:val="36"/>
        </w:rPr>
        <w:t xml:space="preserve">                                      List of Tables</w:t>
      </w:r>
    </w:p>
    <w:p w14:paraId="48372380">
      <w:pPr>
        <w:pStyle w:val="2"/>
        <w:jc w:val="center"/>
        <w:rPr>
          <w:b/>
          <w:color w:val="000000"/>
          <w:sz w:val="36"/>
        </w:rPr>
      </w:pPr>
      <w:bookmarkStart w:id="3" w:name="__RefHeading___91824"/>
      <w:bookmarkEnd w:id="3"/>
      <w:r>
        <w:rPr>
          <w:b/>
          <w:color w:val="000000"/>
          <w:sz w:val="36"/>
        </w:rPr>
        <w:t>__________________________________________________</w:t>
      </w:r>
    </w:p>
    <w:p w14:paraId="12F3AF55">
      <w:pPr>
        <w:pStyle w:val="2"/>
        <w:rPr>
          <w:b/>
          <w:color w:val="000000"/>
          <w:sz w:val="36"/>
        </w:rPr>
      </w:pPr>
    </w:p>
    <w:p w14:paraId="30FC52A5">
      <w:pPr>
        <w:spacing w:after="160" w:line="360" w:lineRule="auto"/>
        <w:jc w:val="both"/>
        <w:rPr>
          <w:sz w:val="28"/>
        </w:rPr>
      </w:pPr>
      <w:r>
        <w:rPr>
          <w:sz w:val="28"/>
        </w:rPr>
        <w:t>Table 3.1: Metabolic Syndrome Diagnostic Criteria (Harmonized NCEP ATP III with Asian-Specific Cutoffs)</w:t>
      </w:r>
    </w:p>
    <w:p w14:paraId="488834B8">
      <w:pPr>
        <w:spacing w:after="160" w:line="360" w:lineRule="auto"/>
        <w:jc w:val="both"/>
        <w:rPr>
          <w:sz w:val="28"/>
        </w:rPr>
      </w:pPr>
      <w:r>
        <w:rPr>
          <w:sz w:val="28"/>
        </w:rPr>
        <w:t>Table 4.1: Socio-Demographic Characteristics of Study Participants (n = 300)</w:t>
      </w:r>
    </w:p>
    <w:p w14:paraId="4A7238B0">
      <w:pPr>
        <w:spacing w:after="160" w:line="360" w:lineRule="auto"/>
        <w:jc w:val="both"/>
        <w:rPr>
          <w:sz w:val="28"/>
        </w:rPr>
      </w:pPr>
      <w:r>
        <w:rPr>
          <w:sz w:val="28"/>
        </w:rPr>
        <w:t>Table 4.2: Clinical Characteristics of Psoriasis Patients (n = 150)</w:t>
      </w:r>
    </w:p>
    <w:p w14:paraId="6E52D186">
      <w:pPr>
        <w:spacing w:after="160" w:line="360" w:lineRule="auto"/>
        <w:jc w:val="both"/>
        <w:rPr>
          <w:sz w:val="28"/>
        </w:rPr>
      </w:pPr>
      <w:r>
        <w:rPr>
          <w:sz w:val="28"/>
        </w:rPr>
        <w:t>Table 4.3: Lifestyle and Psychosocial Characteristics of Participants</w:t>
      </w:r>
    </w:p>
    <w:p w14:paraId="74DBEE4F">
      <w:pPr>
        <w:spacing w:after="160" w:line="360" w:lineRule="auto"/>
        <w:jc w:val="both"/>
        <w:rPr>
          <w:sz w:val="28"/>
        </w:rPr>
      </w:pPr>
      <w:r>
        <w:rPr>
          <w:sz w:val="28"/>
        </w:rPr>
        <w:t>Table 4.4: Prevalence of Metabolic Syndrome and Its Individual Components</w:t>
      </w:r>
    </w:p>
    <w:p w14:paraId="12AB023C">
      <w:pPr>
        <w:spacing w:after="160" w:line="360" w:lineRule="auto"/>
        <w:jc w:val="both"/>
        <w:rPr>
          <w:sz w:val="28"/>
        </w:rPr>
      </w:pPr>
      <w:r>
        <w:rPr>
          <w:sz w:val="28"/>
        </w:rPr>
        <w:t>Table 4.5: Bivariate Analysis — Individual MetS Components in Cases vs. Controls</w:t>
      </w:r>
    </w:p>
    <w:p w14:paraId="29761CC3">
      <w:pPr>
        <w:spacing w:after="160" w:line="360" w:lineRule="auto"/>
        <w:jc w:val="both"/>
        <w:rPr>
          <w:sz w:val="28"/>
        </w:rPr>
      </w:pPr>
      <w:r>
        <w:rPr>
          <w:sz w:val="28"/>
        </w:rPr>
        <w:t>Table 4.6: Crude and Adjusted Odds Ratios for Metabolic Syndrome</w:t>
      </w:r>
    </w:p>
    <w:p w14:paraId="00C75521">
      <w:pPr>
        <w:spacing w:after="160" w:line="360" w:lineRule="auto"/>
        <w:jc w:val="both"/>
        <w:rPr>
          <w:sz w:val="28"/>
        </w:rPr>
      </w:pPr>
      <w:r>
        <w:rPr>
          <w:sz w:val="28"/>
        </w:rPr>
        <w:t>Table 4.7: Multivariate Logistic Regression for Metabolic Syndrome</w:t>
      </w:r>
    </w:p>
    <w:p w14:paraId="78236A0E">
      <w:pPr>
        <w:spacing w:after="160" w:line="360" w:lineRule="auto"/>
        <w:jc w:val="both"/>
        <w:rPr>
          <w:sz w:val="28"/>
        </w:rPr>
      </w:pPr>
      <w:r>
        <w:rPr>
          <w:sz w:val="28"/>
        </w:rPr>
        <w:t>Table 4.8: Metabolic Syndrome by Psoriasis Severity Subgroup</w:t>
      </w:r>
    </w:p>
    <w:p w14:paraId="6F92BC43">
      <w:pPr>
        <w:spacing w:line="360" w:lineRule="auto"/>
        <w:jc w:val="both"/>
        <w:rPr>
          <w:sz w:val="28"/>
        </w:rPr>
      </w:pPr>
      <w:r>
        <w:rPr>
          <w:sz w:val="28"/>
        </w:rPr>
        <w:br w:type="page"/>
      </w:r>
    </w:p>
    <w:p w14:paraId="68996EA2">
      <w:pPr>
        <w:pStyle w:val="2"/>
        <w:spacing w:before="400" w:after="200" w:line="360" w:lineRule="auto"/>
        <w:jc w:val="center"/>
        <w:rPr>
          <w:color w:val="000000"/>
          <w:sz w:val="36"/>
        </w:rPr>
      </w:pPr>
      <w:bookmarkStart w:id="4" w:name="__RefHeading___91825"/>
      <w:bookmarkEnd w:id="4"/>
      <w:r>
        <w:rPr>
          <w:b/>
          <w:caps/>
          <w:color w:val="000000"/>
          <w:sz w:val="36"/>
        </w:rPr>
        <w:t>Abstract</w:t>
      </w:r>
    </w:p>
    <w:p w14:paraId="2B8F8F92">
      <w:pPr>
        <w:spacing w:before="100" w:after="100" w:line="360" w:lineRule="auto"/>
        <w:jc w:val="both"/>
        <w:rPr>
          <w:sz w:val="28"/>
        </w:rPr>
      </w:pPr>
      <w:r>
        <w:rPr>
          <w:b/>
          <w:sz w:val="28"/>
        </w:rPr>
        <w:t xml:space="preserve">Background: </w:t>
      </w:r>
      <w:r>
        <w:rPr>
          <w:sz w:val="28"/>
        </w:rPr>
        <w:t>Psoriasis is a chronic, immune-mediated inflammatory skin disease that has been increasingly recognised as a systemic condition carrying significant cardiometabolic risk. Despite a growing global body of evidence linking psoriasis to metabolic syndrome (MetS), no such data exist from Afghanistan, a country with unique genetic, environmental, and socioeconomic characteristics. This study aimed to investigate the association between psoriasis and metabolic syndrome in patients attending Faryab State Hospital, Maimana, northern Afghanistan.</w:t>
      </w:r>
    </w:p>
    <w:p w14:paraId="78B48FA3">
      <w:pPr>
        <w:spacing w:before="100" w:after="100" w:line="360" w:lineRule="auto"/>
        <w:jc w:val="both"/>
        <w:rPr>
          <w:sz w:val="28"/>
        </w:rPr>
      </w:pPr>
      <w:r>
        <w:rPr>
          <w:b/>
          <w:sz w:val="28"/>
        </w:rPr>
        <w:t xml:space="preserve">Methods: </w:t>
      </w:r>
      <w:r>
        <w:rPr>
          <w:sz w:val="28"/>
        </w:rPr>
        <w:t>A hospital-based case-control study was conducted between December 2024 and December 2025. A total of 150 confirmed chronic plaque psoriasis patients (cases) were compared with 150 controls presenting with minor, non-inflammatory skin conditions. Metabolic syndrome was defined according to the harmonised NCEP ATP III criteria with Asian-specific waist circumference cutoffs (≥90 cm for men; ≥80 cm for women), requiring ≥3 of 5 components. Psoriasis severity was assessed using the Psoriasis Area and Severity Index (PASI). Multivariate logistic regression was used to calculate adjusted odds ratios (AOR) controlling for age, sex, and physical activity. IBM SPSS version 26 was used for all analyses.</w:t>
      </w:r>
    </w:p>
    <w:p w14:paraId="49F02AEF">
      <w:pPr>
        <w:spacing w:before="100" w:after="100" w:line="360" w:lineRule="auto"/>
        <w:jc w:val="both"/>
        <w:rPr>
          <w:sz w:val="28"/>
        </w:rPr>
      </w:pPr>
      <w:r>
        <w:rPr>
          <w:b/>
          <w:sz w:val="28"/>
        </w:rPr>
        <w:t xml:space="preserve">Results: </w:t>
      </w:r>
      <w:r>
        <w:rPr>
          <w:sz w:val="28"/>
        </w:rPr>
        <w:t>Metabolic syndrome was present in 39.3% of psoriasis patients compared to 21.3% of controls (p &lt; 0.001). After adjustment for confounders, psoriasis remained an independent predictor of MetS (AOR = 2.18; 95% CI: 1.30–3.66; p = 0.003). The strongest individual associations were observed for hypertriglyceridaemia (66.0% vs. 35.3%; OR = 3.58) and overweight/obesity (66.0% vs. 43.3%; OR = 2.58). A significant dose-response relationship was demonstrated: patients with moderate-to-severe psoriasis (PASI ≥ 10) had an odds ratio of 3.07 for MetS compared to controls, while those with mild psoriasis (PASI &lt; 10) showed no statistically significant difference (OR = 1.46; p = 0.25). Only 24.7% of psoriasis patients reported life satisfaction, compared to 92.0% of controls.</w:t>
      </w:r>
    </w:p>
    <w:p w14:paraId="7E5FA7F0">
      <w:pPr>
        <w:spacing w:before="100" w:after="100" w:line="360" w:lineRule="auto"/>
        <w:jc w:val="both"/>
        <w:rPr>
          <w:sz w:val="28"/>
        </w:rPr>
      </w:pPr>
      <w:r>
        <w:rPr>
          <w:b/>
          <w:sz w:val="28"/>
        </w:rPr>
        <w:t xml:space="preserve">Conclusion: </w:t>
      </w:r>
      <w:r>
        <w:rPr>
          <w:sz w:val="28"/>
        </w:rPr>
        <w:t>This is the first study to document the psoriasis–metabolic syndrome association in northern Afghanistan, with findings consistent with global data. Psoriasis patients, particularly those with moderate-to-severe disease, face substantially elevated cardiometabolic risk. Routine metabolic screening — including blood pressure, fasting glucose, fasting lipids, and waist circumference — should be integrated into dermatological care at Faryab State Hospital. These findings provide the evidence base needed to update Afghan clinical guidelines and inform national public health policy.</w:t>
      </w:r>
    </w:p>
    <w:p w14:paraId="59146A96">
      <w:pPr>
        <w:spacing w:before="100" w:after="160" w:line="360" w:lineRule="auto"/>
        <w:jc w:val="both"/>
        <w:rPr>
          <w:sz w:val="28"/>
        </w:rPr>
      </w:pPr>
      <w:r>
        <w:rPr>
          <w:b/>
          <w:sz w:val="28"/>
        </w:rPr>
        <w:t xml:space="preserve">Keywords: </w:t>
      </w:r>
      <w:r>
        <w:rPr>
          <w:iCs/>
          <w:sz w:val="28"/>
        </w:rPr>
        <w:t>Psoriasis; Metabolic Syndrome; Cardiometabolic Risk; Chronic Inflammation; Case-Control Study; Afghanistan; PASI; Hypertriglyceridaemia; Insulin Resistance</w:t>
      </w:r>
    </w:p>
    <w:p w14:paraId="09370F51">
      <w:pPr>
        <w:spacing w:line="360" w:lineRule="auto"/>
        <w:jc w:val="both"/>
        <w:rPr>
          <w:sz w:val="28"/>
        </w:rPr>
      </w:pPr>
      <w:r>
        <w:rPr>
          <w:sz w:val="28"/>
        </w:rPr>
        <w:br w:type="page"/>
      </w:r>
    </w:p>
    <w:p w14:paraId="6B0C5A66">
      <w:pPr>
        <w:pStyle w:val="2"/>
        <w:spacing w:before="400" w:after="200"/>
        <w:jc w:val="center"/>
        <w:rPr>
          <w:color w:val="000000"/>
          <w:sz w:val="36"/>
        </w:rPr>
      </w:pPr>
      <w:bookmarkStart w:id="5" w:name="__RefHeading___91826"/>
      <w:bookmarkEnd w:id="5"/>
      <w:r>
        <w:rPr>
          <w:b/>
          <w:caps/>
          <w:color w:val="000000"/>
          <w:sz w:val="36"/>
        </w:rPr>
        <w:t>Chapter I: Introduction</w:t>
      </w:r>
    </w:p>
    <w:p w14:paraId="071D20B7">
      <w:pPr>
        <w:pStyle w:val="3"/>
        <w:jc w:val="both"/>
        <w:rPr>
          <w:sz w:val="28"/>
        </w:rPr>
      </w:pPr>
      <w:bookmarkStart w:id="6" w:name="__RefHeading___91827"/>
      <w:bookmarkEnd w:id="6"/>
      <w:r>
        <w:rPr>
          <w:sz w:val="36"/>
        </w:rPr>
        <w:t>__________________________________________________</w:t>
      </w:r>
    </w:p>
    <w:p w14:paraId="2ABFE30B">
      <w:pPr>
        <w:pStyle w:val="3"/>
        <w:jc w:val="both"/>
        <w:rPr>
          <w:sz w:val="28"/>
        </w:rPr>
      </w:pPr>
      <w:bookmarkStart w:id="7" w:name="__RefHeading___91828"/>
      <w:bookmarkEnd w:id="7"/>
      <w:r>
        <w:rPr>
          <w:sz w:val="28"/>
        </w:rPr>
        <w:t>1.1 Background of the Study</w:t>
      </w:r>
    </w:p>
    <w:p w14:paraId="4A904705">
      <w:pPr>
        <w:spacing w:after="160" w:line="360" w:lineRule="auto"/>
        <w:jc w:val="both"/>
        <w:rPr>
          <w:sz w:val="28"/>
        </w:rPr>
      </w:pPr>
      <w:r>
        <w:rPr>
          <w:sz w:val="28"/>
        </w:rPr>
        <w:t>Psoriasis is a chronic, immune-mediated, inflammatory dermatosis affecting approximately 2–3% of the global population. For decades, psoriasis was regarded primarily as a disease of the skin, characterised by well-demarcated, erythematous plaques covered with silvery-white scales and caused by accelerated keratinocyte proliferation driven by a dysregulated T-helper 17 (Th17) immune response. However, a paradigm shift beginning in the early 2000s has firmly established psoriasis as a systemic inflammatory condition whose pathophysiology extends far beyond the epidermis.</w:t>
      </w:r>
    </w:p>
    <w:p w14:paraId="336C59AD">
      <w:pPr>
        <w:spacing w:after="160" w:line="360" w:lineRule="auto"/>
        <w:jc w:val="both"/>
        <w:rPr>
          <w:sz w:val="28"/>
        </w:rPr>
      </w:pPr>
      <w:r>
        <w:rPr>
          <w:sz w:val="28"/>
        </w:rPr>
        <w:t>The same inflammatory mediators that drive the cutaneous manifestations of psoriasis — principally tumour necrosis factor-alpha (TNF-α), interleukin-17 (IL-17), and interleukin-23 (IL-23) — circulate systemically and exert deleterious effects on vascular endothelium, adipose tissue, the liver, and the pancreatic beta cells. The consequence is a heightened susceptibility to a cluster of interrelated metabolic abnormalities collectively termed metabolic syndrome (MetS): central obesity, hypertension, dyslipidaemia, and impaired fasting glucose. Together, these conditions double the risk of type 2 diabetes mellitus and markedly increase the risk of atherosclerotic cardiovascular disease, stroke, and premature mortality.</w:t>
      </w:r>
    </w:p>
    <w:p w14:paraId="3C22A9E3">
      <w:pPr>
        <w:spacing w:after="160" w:line="360" w:lineRule="auto"/>
        <w:jc w:val="both"/>
        <w:rPr>
          <w:sz w:val="28"/>
        </w:rPr>
      </w:pPr>
      <w:r>
        <w:rPr>
          <w:sz w:val="28"/>
        </w:rPr>
        <w:t>A landmark meta-analysis by Armstrong and colleagues (2013), encompassing 35 studies and over 1.4 million psoriasis patients, found that psoriasis conferred more than double the odds of metabolic syndrome (OR = 2.14). For patients with severe psoriasis, the risk was five times greater. Subsequent large cohort studies from Denmark, the United Kingdom, and the United States have corroborated these findings, demonstrating that a 30-year-old with severe psoriasis carries the same cardiovascular risk as a 50-year-old without the disease.</w:t>
      </w:r>
    </w:p>
    <w:p w14:paraId="62616562">
      <w:pPr>
        <w:spacing w:after="160" w:line="360" w:lineRule="auto"/>
        <w:jc w:val="both"/>
        <w:rPr>
          <w:sz w:val="28"/>
        </w:rPr>
      </w:pPr>
      <w:r>
        <w:rPr>
          <w:sz w:val="28"/>
        </w:rPr>
        <w:t>Despite this compelling global evidence, the existing literature is dominated by data from Europe, North America, China, India, and the Middle East. Afghanistan — a country of approximately 40 million people with a unique genetic admixture (Pashtun, Tajik, Uzbek, Hazara, and others), a distinct epidemiological context shaped by four decades of armed conflict, rapidly changing dietary patterns, a severely resource-constrained healthcare system, and a population disproportionately vulnerable to metabolic disease — remains entirely unrepresented in this literature. No published study has examined the association between psoriasis and metabolic syndrome in Afghan patients.</w:t>
      </w:r>
    </w:p>
    <w:p w14:paraId="17699DE4">
      <w:pPr>
        <w:spacing w:after="160" w:line="360" w:lineRule="auto"/>
        <w:jc w:val="both"/>
        <w:rPr>
          <w:sz w:val="28"/>
        </w:rPr>
      </w:pPr>
      <w:r>
        <w:rPr>
          <w:sz w:val="28"/>
        </w:rPr>
        <w:t>Faryab Province, located in northern Afghanistan, epitomises these contextual specificities. Its population is predominantly Uzbek and Tajik, with a substantial Pashtun minority. The province has a high burden of infectious diseases, limited specialist care, and very low rates of preventive screening. If the psoriasis–MetS association holds in this population — as the biological mechanisms strongly predict — then a large proportion of psoriasis patients at Faryab State Hospital may be harbouring undiagnosed and untreated cardiometabolic risk factors that could be detected with simple, low-cost clinical tools already available at the hospital.</w:t>
      </w:r>
    </w:p>
    <w:p w14:paraId="7B0011DA">
      <w:pPr>
        <w:pStyle w:val="3"/>
        <w:spacing w:line="360" w:lineRule="auto"/>
        <w:jc w:val="both"/>
        <w:rPr>
          <w:sz w:val="28"/>
        </w:rPr>
      </w:pPr>
      <w:bookmarkStart w:id="8" w:name="__RefHeading___91829"/>
      <w:bookmarkEnd w:id="8"/>
      <w:r>
        <w:rPr>
          <w:sz w:val="28"/>
        </w:rPr>
        <w:t>1.2 Statement of the Problem</w:t>
      </w:r>
    </w:p>
    <w:p w14:paraId="01A4450E">
      <w:pPr>
        <w:spacing w:after="160" w:line="360" w:lineRule="auto"/>
        <w:jc w:val="both"/>
        <w:rPr>
          <w:sz w:val="28"/>
        </w:rPr>
      </w:pPr>
      <w:r>
        <w:rPr>
          <w:sz w:val="28"/>
        </w:rPr>
        <w:t>Afghan dermatology practice is currently guided by clinical intuition and extrapolated foreign guidelines rather than local evidence. Psoriasis patients presenting to Faryab State Hospital receive dermatological treatment for their skin disease but are not routinely screened for cardiometabolic risk factors. This gap is not the result of negligence — it reflects the absence of local data establishing the necessity of such screening in the Afghan context.</w:t>
      </w:r>
    </w:p>
    <w:p w14:paraId="33C166AC">
      <w:pPr>
        <w:spacing w:after="160" w:line="360" w:lineRule="auto"/>
        <w:jc w:val="both"/>
        <w:rPr>
          <w:sz w:val="28"/>
        </w:rPr>
      </w:pPr>
      <w:r>
        <w:rPr>
          <w:sz w:val="28"/>
        </w:rPr>
        <w:t>Without evidence that the psoriasis–MetS association exists and is clinically significant in Afghan patients, healthcare administrators cannot justify the allocation of additional resources (blood tests, nursing time, referral pathways) to metabolic screening. Furthermore, national treatment guidelines cannot be updated, and targeted public health interventions cannot be designed. The present study was conducted to fill precisely this evidentiary vacuum.</w:t>
      </w:r>
    </w:p>
    <w:p w14:paraId="04A99376">
      <w:pPr>
        <w:pStyle w:val="3"/>
        <w:spacing w:line="360" w:lineRule="auto"/>
        <w:jc w:val="both"/>
        <w:rPr>
          <w:sz w:val="28"/>
        </w:rPr>
      </w:pPr>
      <w:bookmarkStart w:id="9" w:name="__RefHeading___91830"/>
      <w:bookmarkEnd w:id="9"/>
      <w:r>
        <w:rPr>
          <w:sz w:val="28"/>
        </w:rPr>
        <w:t>1.3 Rationale of the Study</w:t>
      </w:r>
    </w:p>
    <w:p w14:paraId="63E23BCF">
      <w:pPr>
        <w:spacing w:after="160" w:line="360" w:lineRule="auto"/>
        <w:jc w:val="both"/>
        <w:rPr>
          <w:sz w:val="28"/>
        </w:rPr>
      </w:pPr>
      <w:r>
        <w:rPr>
          <w:sz w:val="28"/>
        </w:rPr>
        <w:t>Three converging imperatives drove the design of this study. First, epidemiological equity demands that patients in Afghanistan receive the same standard of evidence-based care as patients in higher-income settings. The absence of local data has created a situation in which Afghan psoriasis patients are systematically disadvantaged compared to their counterparts in Europe or India.</w:t>
      </w:r>
    </w:p>
    <w:p w14:paraId="28EE1D51">
      <w:pPr>
        <w:spacing w:after="160" w:line="360" w:lineRule="auto"/>
        <w:jc w:val="both"/>
        <w:rPr>
          <w:sz w:val="28"/>
        </w:rPr>
      </w:pPr>
      <w:r>
        <w:rPr>
          <w:sz w:val="28"/>
        </w:rPr>
        <w:t>Second, the biological mechanisms linking psoriasis to metabolic syndrome are well-characterised and operate independently of ethnicity or geography. The inflammatory cytokine profiles of Afghan psoriasis patients are not fundamentally different from those of European patients; the metabolic consequences of chronic systemic inflammation do not vary by nationality. Nevertheless, the quantitative magnitude of the association — and the distribution of its individual components — may differ due to population-specific factors such as genetic background, dietary patterns, physical activity levels, and baseline metabolic risk.</w:t>
      </w:r>
    </w:p>
    <w:p w14:paraId="64D76014">
      <w:pPr>
        <w:spacing w:after="160" w:line="360" w:lineRule="auto"/>
        <w:jc w:val="both"/>
        <w:rPr>
          <w:sz w:val="28"/>
        </w:rPr>
      </w:pPr>
      <w:r>
        <w:rPr>
          <w:sz w:val="28"/>
        </w:rPr>
        <w:t>Third, the public health implications of a positive finding are immediate and actionable. Metabolic screening for psoriasis patients requires no advanced technology: a calibrated scale, a measuring tape, a standard blood pressure cuff, and a fasting blood sample are sufficient. All of these are available at Faryab State Hospital. If this study demonstrates significantly elevated MetS prevalence in psoriasis patients, the recommended clinical response is feasible without major additional investment.</w:t>
      </w:r>
    </w:p>
    <w:p w14:paraId="4561FA20">
      <w:pPr>
        <w:pStyle w:val="3"/>
        <w:spacing w:line="360" w:lineRule="auto"/>
        <w:jc w:val="both"/>
        <w:rPr>
          <w:sz w:val="28"/>
        </w:rPr>
      </w:pPr>
      <w:bookmarkStart w:id="10" w:name="__RefHeading___91831"/>
      <w:bookmarkEnd w:id="10"/>
      <w:r>
        <w:rPr>
          <w:sz w:val="28"/>
        </w:rPr>
        <w:t>1.4 Research Question</w:t>
      </w:r>
    </w:p>
    <w:p w14:paraId="5F614A3D">
      <w:pPr>
        <w:spacing w:after="160" w:line="360" w:lineRule="auto"/>
        <w:jc w:val="both"/>
        <w:rPr>
          <w:sz w:val="28"/>
        </w:rPr>
      </w:pPr>
      <w:r>
        <w:rPr>
          <w:sz w:val="28"/>
        </w:rPr>
        <w:t>Primary research question:</w:t>
      </w:r>
    </w:p>
    <w:p w14:paraId="6D6985A8">
      <w:pPr>
        <w:spacing w:after="160" w:line="360" w:lineRule="auto"/>
        <w:jc w:val="both"/>
        <w:rPr>
          <w:sz w:val="28"/>
        </w:rPr>
      </w:pPr>
      <w:r>
        <w:rPr>
          <w:sz w:val="28"/>
        </w:rPr>
        <w:t>Among adult patients attending Faryab State Hospital, do those with chronic plaque psoriasis have a significantly higher prevalence of metabolic syndrome than those without psoriasis?</w:t>
      </w:r>
    </w:p>
    <w:p w14:paraId="3EAB8AF7">
      <w:pPr>
        <w:spacing w:after="160" w:line="360" w:lineRule="auto"/>
        <w:jc w:val="both"/>
        <w:rPr>
          <w:sz w:val="28"/>
        </w:rPr>
      </w:pPr>
      <w:r>
        <w:rPr>
          <w:sz w:val="28"/>
        </w:rPr>
        <w:t>Secondary research questions:</w:t>
      </w:r>
    </w:p>
    <w:p w14:paraId="125FBD3B">
      <w:pPr>
        <w:pStyle w:val="38"/>
        <w:numPr>
          <w:ilvl w:val="0"/>
          <w:numId w:val="1"/>
        </w:numPr>
        <w:spacing w:before="60" w:after="60" w:line="360" w:lineRule="auto"/>
        <w:ind w:firstLine="0"/>
        <w:jc w:val="both"/>
        <w:rPr>
          <w:sz w:val="28"/>
        </w:rPr>
      </w:pPr>
      <w:r>
        <w:rPr>
          <w:sz w:val="28"/>
        </w:rPr>
        <w:t>What is the prevalence of metabolic syndrome among psoriasis patients and controls?</w:t>
      </w:r>
    </w:p>
    <w:p w14:paraId="1A415336">
      <w:pPr>
        <w:pStyle w:val="38"/>
        <w:numPr>
          <w:ilvl w:val="0"/>
          <w:numId w:val="1"/>
        </w:numPr>
        <w:spacing w:before="60" w:after="60" w:line="360" w:lineRule="auto"/>
        <w:ind w:firstLine="0"/>
        <w:jc w:val="both"/>
        <w:rPr>
          <w:sz w:val="28"/>
        </w:rPr>
      </w:pPr>
      <w:r>
        <w:rPr>
          <w:sz w:val="28"/>
        </w:rPr>
        <w:t>Which individual components of metabolic syndrome are most strongly associated with psoriasis?</w:t>
      </w:r>
    </w:p>
    <w:p w14:paraId="5801E1FB">
      <w:pPr>
        <w:pStyle w:val="38"/>
        <w:numPr>
          <w:ilvl w:val="0"/>
          <w:numId w:val="1"/>
        </w:numPr>
        <w:spacing w:before="60" w:after="60" w:line="360" w:lineRule="auto"/>
        <w:ind w:firstLine="0"/>
        <w:jc w:val="both"/>
        <w:rPr>
          <w:sz w:val="28"/>
        </w:rPr>
      </w:pPr>
      <w:r>
        <w:rPr>
          <w:sz w:val="28"/>
        </w:rPr>
        <w:t>Does the association between psoriasis and metabolic syndrome remain statistically significant after controlling for age, sex, and physical activity?</w:t>
      </w:r>
    </w:p>
    <w:p w14:paraId="4A212FA1">
      <w:pPr>
        <w:pStyle w:val="38"/>
        <w:numPr>
          <w:ilvl w:val="0"/>
          <w:numId w:val="1"/>
        </w:numPr>
        <w:spacing w:before="60" w:after="60" w:line="360" w:lineRule="auto"/>
        <w:ind w:firstLine="0"/>
        <w:jc w:val="both"/>
        <w:rPr>
          <w:sz w:val="28"/>
        </w:rPr>
      </w:pPr>
      <w:r>
        <w:rPr>
          <w:sz w:val="28"/>
        </w:rPr>
        <w:t>Is there a dose-response relationship between psoriasis severity (PASI score) and metabolic syndrome risk?</w:t>
      </w:r>
    </w:p>
    <w:p w14:paraId="2F4DFE4A">
      <w:pPr>
        <w:pStyle w:val="3"/>
        <w:spacing w:line="360" w:lineRule="auto"/>
        <w:jc w:val="both"/>
        <w:rPr>
          <w:sz w:val="28"/>
        </w:rPr>
      </w:pPr>
      <w:bookmarkStart w:id="11" w:name="__RefHeading___91832"/>
      <w:bookmarkEnd w:id="11"/>
      <w:r>
        <w:rPr>
          <w:sz w:val="28"/>
        </w:rPr>
        <w:t>1.5 Study Objectives</w:t>
      </w:r>
    </w:p>
    <w:p w14:paraId="2B96F14D">
      <w:pPr>
        <w:pStyle w:val="4"/>
        <w:spacing w:line="360" w:lineRule="auto"/>
        <w:jc w:val="both"/>
        <w:rPr>
          <w:i w:val="0"/>
          <w:iCs/>
          <w:sz w:val="28"/>
        </w:rPr>
      </w:pPr>
      <w:bookmarkStart w:id="12" w:name="__RefHeading___91833"/>
      <w:bookmarkEnd w:id="12"/>
      <w:r>
        <w:rPr>
          <w:i w:val="0"/>
          <w:iCs/>
          <w:sz w:val="28"/>
        </w:rPr>
        <w:t>1.5.1 Primary Objective</w:t>
      </w:r>
    </w:p>
    <w:p w14:paraId="7B967DBA">
      <w:pPr>
        <w:spacing w:after="160" w:line="360" w:lineRule="auto"/>
        <w:jc w:val="both"/>
        <w:rPr>
          <w:sz w:val="28"/>
        </w:rPr>
      </w:pPr>
      <w:r>
        <w:rPr>
          <w:sz w:val="28"/>
        </w:rPr>
        <w:t>To determine whether psoriasis is independently associated with metabolic syndrome in patients attending Faryab State Hospital, Maimana, Afghanistan.</w:t>
      </w:r>
    </w:p>
    <w:p w14:paraId="1537CF4E">
      <w:pPr>
        <w:pStyle w:val="4"/>
        <w:spacing w:line="360" w:lineRule="auto"/>
        <w:jc w:val="both"/>
        <w:rPr>
          <w:i w:val="0"/>
          <w:iCs/>
          <w:sz w:val="28"/>
        </w:rPr>
      </w:pPr>
      <w:bookmarkStart w:id="13" w:name="__RefHeading___91834"/>
      <w:bookmarkEnd w:id="13"/>
      <w:r>
        <w:rPr>
          <w:i w:val="0"/>
          <w:iCs/>
          <w:sz w:val="28"/>
        </w:rPr>
        <w:t>1.5.2 Specific Objectives</w:t>
      </w:r>
    </w:p>
    <w:p w14:paraId="744BC05E">
      <w:pPr>
        <w:pStyle w:val="38"/>
        <w:numPr>
          <w:ilvl w:val="0"/>
          <w:numId w:val="2"/>
        </w:numPr>
        <w:spacing w:before="60" w:after="60" w:line="360" w:lineRule="auto"/>
        <w:ind w:firstLine="0"/>
        <w:jc w:val="both"/>
        <w:rPr>
          <w:sz w:val="28"/>
        </w:rPr>
      </w:pPr>
      <w:r>
        <w:rPr>
          <w:sz w:val="28"/>
        </w:rPr>
        <w:t>To describe the socio-demographic and clinical profiles of psoriasis cases and matched controls.</w:t>
      </w:r>
    </w:p>
    <w:p w14:paraId="7BFC70A6">
      <w:pPr>
        <w:pStyle w:val="38"/>
        <w:numPr>
          <w:ilvl w:val="0"/>
          <w:numId w:val="2"/>
        </w:numPr>
        <w:spacing w:before="60" w:after="60" w:line="360" w:lineRule="auto"/>
        <w:ind w:firstLine="0"/>
        <w:jc w:val="both"/>
        <w:rPr>
          <w:sz w:val="28"/>
        </w:rPr>
      </w:pPr>
      <w:r>
        <w:rPr>
          <w:sz w:val="28"/>
        </w:rPr>
        <w:t>To determine the prevalence of metabolic syndrome and each of its five components in both groups.</w:t>
      </w:r>
    </w:p>
    <w:p w14:paraId="69D22A1C">
      <w:pPr>
        <w:pStyle w:val="38"/>
        <w:numPr>
          <w:ilvl w:val="0"/>
          <w:numId w:val="2"/>
        </w:numPr>
        <w:spacing w:before="60" w:after="60" w:line="360" w:lineRule="auto"/>
        <w:ind w:firstLine="0"/>
        <w:jc w:val="both"/>
        <w:rPr>
          <w:sz w:val="28"/>
        </w:rPr>
      </w:pPr>
      <w:r>
        <w:rPr>
          <w:sz w:val="28"/>
        </w:rPr>
        <w:t>To calculate the crude and adjusted odds ratios for metabolic syndrome in psoriasis patients relative to controls.</w:t>
      </w:r>
    </w:p>
    <w:p w14:paraId="64BF4208">
      <w:pPr>
        <w:pStyle w:val="38"/>
        <w:numPr>
          <w:ilvl w:val="0"/>
          <w:numId w:val="2"/>
        </w:numPr>
        <w:spacing w:before="60" w:after="60" w:line="360" w:lineRule="auto"/>
        <w:ind w:firstLine="0"/>
        <w:jc w:val="both"/>
        <w:rPr>
          <w:sz w:val="28"/>
        </w:rPr>
      </w:pPr>
      <w:r>
        <w:rPr>
          <w:sz w:val="28"/>
        </w:rPr>
        <w:t>To examine the relationship between psoriasis severity (PASI score) and the likelihood of having metabolic syndrome.</w:t>
      </w:r>
    </w:p>
    <w:p w14:paraId="299BAF55">
      <w:pPr>
        <w:pStyle w:val="38"/>
        <w:numPr>
          <w:ilvl w:val="0"/>
          <w:numId w:val="2"/>
        </w:numPr>
        <w:spacing w:before="60" w:after="60" w:line="360" w:lineRule="auto"/>
        <w:ind w:firstLine="0"/>
        <w:jc w:val="both"/>
        <w:rPr>
          <w:sz w:val="28"/>
        </w:rPr>
      </w:pPr>
      <w:r>
        <w:rPr>
          <w:sz w:val="28"/>
        </w:rPr>
        <w:t>To provide evidence-based recommendations for the integration of cardiometabolic screening into dermatological care at Faryab State Hospital.</w:t>
      </w:r>
    </w:p>
    <w:p w14:paraId="57A7D080">
      <w:pPr>
        <w:pStyle w:val="3"/>
        <w:spacing w:line="360" w:lineRule="auto"/>
        <w:jc w:val="both"/>
        <w:rPr>
          <w:sz w:val="28"/>
        </w:rPr>
      </w:pPr>
      <w:bookmarkStart w:id="14" w:name="__RefHeading___91835"/>
      <w:bookmarkEnd w:id="14"/>
      <w:r>
        <w:rPr>
          <w:sz w:val="28"/>
        </w:rPr>
        <w:t>1.6 Research Hypotheses</w:t>
      </w:r>
    </w:p>
    <w:p w14:paraId="5B97A4D5">
      <w:pPr>
        <w:spacing w:before="80" w:after="80" w:line="360" w:lineRule="auto"/>
        <w:jc w:val="both"/>
        <w:rPr>
          <w:sz w:val="28"/>
        </w:rPr>
      </w:pPr>
      <w:r>
        <w:rPr>
          <w:sz w:val="28"/>
        </w:rPr>
        <w:t>Null hypothesis (H</w:t>
      </w:r>
      <w:r>
        <w:rPr>
          <w:sz w:val="28"/>
          <w:vertAlign w:val="subscript"/>
        </w:rPr>
        <w:t>0</w:t>
      </w:r>
      <w:r>
        <w:rPr>
          <w:sz w:val="28"/>
        </w:rPr>
        <w:t>): There is no statistically significant difference in the prevalence of metabolic syndrome between psoriasis patients and controls at Faryab State Hospital.</w:t>
      </w:r>
    </w:p>
    <w:p w14:paraId="350743A4">
      <w:pPr>
        <w:spacing w:before="80" w:after="160" w:line="360" w:lineRule="auto"/>
        <w:jc w:val="both"/>
        <w:rPr>
          <w:sz w:val="28"/>
        </w:rPr>
      </w:pPr>
      <w:r>
        <w:rPr>
          <w:sz w:val="28"/>
        </w:rPr>
        <w:t>Alternative hypothesis (H</w:t>
      </w:r>
      <w:r>
        <w:rPr>
          <w:sz w:val="28"/>
          <w:vertAlign w:val="subscript"/>
        </w:rPr>
        <w:t>1</w:t>
      </w:r>
      <w:r>
        <w:rPr>
          <w:sz w:val="28"/>
        </w:rPr>
        <w:t>): Psoriasis patients at Faryab State Hospital have a significantly higher prevalence of metabolic syndrome than controls, and this association is stronger in patients with moderate-to-severe psoriasis.</w:t>
      </w:r>
    </w:p>
    <w:p w14:paraId="71DD99E5">
      <w:pPr>
        <w:pStyle w:val="3"/>
        <w:spacing w:line="360" w:lineRule="auto"/>
        <w:jc w:val="both"/>
        <w:rPr>
          <w:sz w:val="28"/>
        </w:rPr>
      </w:pPr>
      <w:bookmarkStart w:id="15" w:name="__RefHeading___91836"/>
      <w:bookmarkEnd w:id="15"/>
      <w:r>
        <w:rPr>
          <w:sz w:val="28"/>
        </w:rPr>
        <w:t>1.7 Significance of the Study</w:t>
      </w:r>
    </w:p>
    <w:p w14:paraId="51CD113F">
      <w:pPr>
        <w:spacing w:after="160" w:line="360" w:lineRule="auto"/>
        <w:jc w:val="both"/>
        <w:rPr>
          <w:sz w:val="28"/>
        </w:rPr>
      </w:pPr>
      <w:r>
        <w:rPr>
          <w:sz w:val="28"/>
        </w:rPr>
        <w:t>For clinicians at Faryab State Hospital, this study provides the first locally generated evidence to guide metabolic screening decisions. For Afghan policy-makers and the Ministry of Public Health, it offers quantitative data to support the revision of dermatology care protocols. For the international research community, it fills a geographic gap in the global literature and contributes data from a population whose genetic and environmental characteristics may differ meaningfully from those of previously studied groups.</w:t>
      </w:r>
    </w:p>
    <w:p w14:paraId="6E584E62">
      <w:pPr>
        <w:spacing w:after="160" w:line="360" w:lineRule="auto"/>
        <w:jc w:val="both"/>
        <w:rPr>
          <w:sz w:val="28"/>
        </w:rPr>
      </w:pPr>
      <w:r>
        <w:rPr>
          <w:sz w:val="28"/>
        </w:rPr>
        <w:t>More broadly, this study contributes to the growing body of evidence establishing psoriasis as a systemic inflammatory disease requiring a holistic, multi-disciplinary management approach — an approach that must be adapted to local context and resource constraints.</w:t>
      </w:r>
    </w:p>
    <w:p w14:paraId="51B0E0C2">
      <w:pPr>
        <w:pStyle w:val="3"/>
        <w:spacing w:line="360" w:lineRule="auto"/>
        <w:jc w:val="both"/>
        <w:rPr>
          <w:sz w:val="28"/>
        </w:rPr>
      </w:pPr>
      <w:bookmarkStart w:id="16" w:name="__RefHeading___91837"/>
      <w:bookmarkEnd w:id="16"/>
      <w:r>
        <w:rPr>
          <w:sz w:val="28"/>
        </w:rPr>
        <w:t>1.8 Scope and Delimitations</w:t>
      </w:r>
    </w:p>
    <w:p w14:paraId="75825056">
      <w:pPr>
        <w:spacing w:after="160" w:line="360" w:lineRule="auto"/>
        <w:jc w:val="both"/>
        <w:rPr>
          <w:sz w:val="28"/>
        </w:rPr>
      </w:pPr>
      <w:r>
        <w:rPr>
          <w:sz w:val="28"/>
        </w:rPr>
        <w:t>This study is delimited to adult patients (≥18 years) attending the outpatient dermatology clinic of Faryab State Hospital between December 2024 and December 2025. Cases were limited to confirmed chronic plaque psoriasis; other psoriasis subtypes (guttate, pustular, erythrodermic) were excluded. Patients receiving systemic anti-psoriatic therapies (biologics, systemic immunosuppressants, systemic retinoids, or systemic corticosteroids) within the preceding six weeks were excluded, as these agents independently affect metabolic parameters. Controls were drawn from the same clinic and time period, limited to patients with minor, non-inflammatory dermatological conditions.</w:t>
      </w:r>
    </w:p>
    <w:p w14:paraId="54EEA8C3">
      <w:pPr>
        <w:spacing w:after="160" w:line="360" w:lineRule="auto"/>
        <w:jc w:val="both"/>
        <w:rPr>
          <w:sz w:val="28"/>
        </w:rPr>
      </w:pPr>
      <w:r>
        <w:rPr>
          <w:sz w:val="28"/>
        </w:rPr>
        <w:t>Because the study was conducted at a single centre and used a case-control design, causal inferences cannot be drawn, and findings may not be fully generalisable to rural populations or patients managed at other facilities in Faryab Province or other Afghan provinces.</w:t>
      </w:r>
    </w:p>
    <w:p w14:paraId="63DBB96E">
      <w:pPr>
        <w:pStyle w:val="3"/>
        <w:spacing w:line="360" w:lineRule="auto"/>
        <w:jc w:val="both"/>
        <w:rPr>
          <w:sz w:val="28"/>
        </w:rPr>
      </w:pPr>
      <w:bookmarkStart w:id="17" w:name="__RefHeading___91838"/>
      <w:bookmarkEnd w:id="17"/>
      <w:r>
        <w:rPr>
          <w:sz w:val="28"/>
        </w:rPr>
        <w:t>1.9 Operational Definitions</w:t>
      </w:r>
    </w:p>
    <w:p w14:paraId="7C0C3459">
      <w:pPr>
        <w:spacing w:before="80" w:after="80" w:line="360" w:lineRule="auto"/>
        <w:jc w:val="both"/>
        <w:rPr>
          <w:sz w:val="28"/>
        </w:rPr>
      </w:pPr>
      <w:r>
        <w:rPr>
          <w:b/>
          <w:sz w:val="28"/>
        </w:rPr>
        <w:t xml:space="preserve">Psoriasis case: </w:t>
      </w:r>
      <w:r>
        <w:rPr>
          <w:sz w:val="28"/>
        </w:rPr>
        <w:t>An adult patient (≥18 years) with a clinically confirmed diagnosis of chronic plaque psoriasis, characterised by well-demarcated, erythematous plaques with silvery-white scales.</w:t>
      </w:r>
    </w:p>
    <w:p w14:paraId="6F0A23C3">
      <w:pPr>
        <w:spacing w:before="80" w:after="80" w:line="360" w:lineRule="auto"/>
        <w:jc w:val="both"/>
        <w:rPr>
          <w:sz w:val="28"/>
        </w:rPr>
      </w:pPr>
      <w:r>
        <w:rPr>
          <w:b/>
          <w:sz w:val="28"/>
        </w:rPr>
        <w:t xml:space="preserve">Control: </w:t>
      </w:r>
      <w:r>
        <w:rPr>
          <w:sz w:val="28"/>
        </w:rPr>
        <w:t>An adult patient (≥18 years) attending the same clinic with a minor, non-inflammatory skin condition (acquired naevus, seborrhoeic keratosis, androgenetic alopecia, vitiligo, benign skin tumour, verruca vulgaris, or epidermal cyst) with no known association with systemic inflammation.</w:t>
      </w:r>
    </w:p>
    <w:p w14:paraId="4BA867DF">
      <w:pPr>
        <w:spacing w:before="80" w:after="80" w:line="360" w:lineRule="auto"/>
        <w:jc w:val="both"/>
        <w:rPr>
          <w:sz w:val="28"/>
        </w:rPr>
      </w:pPr>
      <w:r>
        <w:rPr>
          <w:b/>
          <w:sz w:val="28"/>
        </w:rPr>
        <w:t xml:space="preserve">Metabolic syndrome: </w:t>
      </w:r>
      <w:r>
        <w:rPr>
          <w:sz w:val="28"/>
        </w:rPr>
        <w:t>Defined by the presence of ≥3 of the following 5 criteria (harmonised NCEP ATP III with Asian-specific waist cutoffs): (1) waist circumference ≥90 cm (men) or ≥80 cm (women); (2) fasting triglycerides ≥150 mg/dL or on triglyceride-lowering medication; (3) HDL-C &lt;40 mg/dL (men) or &lt;50 mg/dL (women) or on HDL-raising medication; (4) blood pressure ≥130/85 mmHg or on antihypertensive medication; (5) fasting plasma glucose ≥100 mg/dL or on glucose-lowering medication.</w:t>
      </w:r>
    </w:p>
    <w:p w14:paraId="2F1CADD5">
      <w:pPr>
        <w:spacing w:before="80" w:after="160" w:line="360" w:lineRule="auto"/>
        <w:jc w:val="both"/>
        <w:rPr>
          <w:sz w:val="28"/>
        </w:rPr>
      </w:pPr>
      <w:r>
        <w:rPr>
          <w:b/>
          <w:sz w:val="28"/>
        </w:rPr>
        <w:t xml:space="preserve">PASI (Psoriasis Area and Severity Index): </w:t>
      </w:r>
      <w:r>
        <w:rPr>
          <w:sz w:val="28"/>
        </w:rPr>
        <w:t>A validated composite score (range 0–72) measuring psoriasis severity across four body regions (head/neck, upper limbs, trunk, lower limbs), combining extent of involvement with ratings of erythema, induration, and desquamation. Mild psoriasis is defined as PASI &lt; 10; moderate-to-severe as PASI ≥ 10.</w:t>
      </w:r>
    </w:p>
    <w:p w14:paraId="4E69FD5B">
      <w:pPr>
        <w:spacing w:line="360" w:lineRule="auto"/>
        <w:jc w:val="both"/>
        <w:rPr>
          <w:sz w:val="28"/>
        </w:rPr>
      </w:pPr>
      <w:r>
        <w:rPr>
          <w:sz w:val="28"/>
        </w:rPr>
        <w:br w:type="page"/>
      </w:r>
    </w:p>
    <w:p w14:paraId="5022934D">
      <w:pPr>
        <w:pStyle w:val="2"/>
        <w:spacing w:before="400" w:after="200" w:line="168" w:lineRule="auto"/>
        <w:jc w:val="center"/>
        <w:rPr>
          <w:b/>
          <w:caps/>
          <w:color w:val="000000"/>
          <w:sz w:val="36"/>
        </w:rPr>
      </w:pPr>
      <w:bookmarkStart w:id="18" w:name="__RefHeading___91839"/>
      <w:bookmarkEnd w:id="18"/>
    </w:p>
    <w:p w14:paraId="54FFEFCF">
      <w:pPr>
        <w:pStyle w:val="2"/>
        <w:spacing w:before="400" w:after="200" w:line="168" w:lineRule="auto"/>
        <w:jc w:val="center"/>
        <w:rPr>
          <w:color w:val="000000"/>
          <w:sz w:val="36"/>
        </w:rPr>
      </w:pPr>
      <w:r>
        <w:rPr>
          <w:b/>
          <w:caps/>
          <w:color w:val="000000"/>
          <w:sz w:val="36"/>
        </w:rPr>
        <w:t>Chapter II</w:t>
      </w:r>
    </w:p>
    <w:p w14:paraId="7E49AEAF">
      <w:pPr>
        <w:pStyle w:val="2"/>
        <w:spacing w:before="400" w:after="200" w:line="168" w:lineRule="auto"/>
        <w:jc w:val="center"/>
        <w:rPr>
          <w:color w:val="000000"/>
          <w:sz w:val="36"/>
        </w:rPr>
      </w:pPr>
      <w:bookmarkStart w:id="19" w:name="__RefHeading___91840"/>
      <w:bookmarkEnd w:id="19"/>
      <w:r>
        <w:rPr>
          <w:b/>
          <w:caps/>
          <w:color w:val="000000"/>
          <w:sz w:val="36"/>
        </w:rPr>
        <w:t>Literature Review</w:t>
      </w:r>
    </w:p>
    <w:p w14:paraId="775A5521">
      <w:pPr>
        <w:pStyle w:val="2"/>
        <w:spacing w:before="400" w:after="200" w:line="168" w:lineRule="auto"/>
        <w:jc w:val="center"/>
        <w:rPr>
          <w:color w:val="000000"/>
          <w:sz w:val="36"/>
        </w:rPr>
      </w:pPr>
      <w:bookmarkStart w:id="20" w:name="__RefHeading___91841"/>
      <w:bookmarkEnd w:id="20"/>
      <w:r>
        <w:rPr>
          <w:b/>
          <w:color w:val="000000"/>
          <w:sz w:val="36"/>
        </w:rPr>
        <w:t>__________________________________________________</w:t>
      </w:r>
    </w:p>
    <w:p w14:paraId="72974C75">
      <w:pPr>
        <w:pStyle w:val="3"/>
        <w:spacing w:line="360" w:lineRule="auto"/>
        <w:jc w:val="both"/>
        <w:rPr>
          <w:sz w:val="28"/>
        </w:rPr>
      </w:pPr>
      <w:bookmarkStart w:id="21" w:name="__RefHeading___91842"/>
      <w:bookmarkEnd w:id="21"/>
      <w:r>
        <w:rPr>
          <w:sz w:val="28"/>
        </w:rPr>
        <w:t>2.1 Introduction</w:t>
      </w:r>
    </w:p>
    <w:p w14:paraId="1917A275">
      <w:pPr>
        <w:spacing w:after="160" w:line="360" w:lineRule="auto"/>
        <w:jc w:val="both"/>
        <w:rPr>
          <w:sz w:val="28"/>
        </w:rPr>
      </w:pPr>
      <w:r>
        <w:rPr>
          <w:sz w:val="28"/>
        </w:rPr>
        <w:t>The hypothesis that psoriasis and metabolic syndrome are causally linked — rather than merely concurrent — rests on three converging pillars: a consistent epidemiological association across diverse populations, a biologically plausible shared mechanistic pathway, and a dose-response gradient between psoriasis severity and metabolic risk. This chapter reviews the relevant literature under each of these pillars, proceeding from the pathophysiology of psoriasis through the epidemiology of metabolic syndrome to the evidence specifically linking the two conditions. The chapter concludes by identifying the gap that the present study was designed to address.</w:t>
      </w:r>
    </w:p>
    <w:p w14:paraId="32A3294A">
      <w:pPr>
        <w:pStyle w:val="3"/>
        <w:spacing w:line="360" w:lineRule="auto"/>
        <w:jc w:val="both"/>
        <w:rPr>
          <w:sz w:val="28"/>
        </w:rPr>
      </w:pPr>
      <w:bookmarkStart w:id="22" w:name="__RefHeading___91843"/>
      <w:bookmarkEnd w:id="22"/>
      <w:r>
        <w:rPr>
          <w:sz w:val="28"/>
        </w:rPr>
        <w:t>2.2 Psoriasis: Pathophysiology and Systemic Implications</w:t>
      </w:r>
    </w:p>
    <w:p w14:paraId="33578B5F">
      <w:pPr>
        <w:pStyle w:val="4"/>
        <w:spacing w:line="360" w:lineRule="auto"/>
        <w:jc w:val="both"/>
        <w:rPr>
          <w:i w:val="0"/>
          <w:iCs/>
          <w:sz w:val="28"/>
        </w:rPr>
      </w:pPr>
      <w:bookmarkStart w:id="23" w:name="__RefHeading___91844"/>
      <w:bookmarkEnd w:id="23"/>
      <w:r>
        <w:rPr>
          <w:i w:val="0"/>
          <w:iCs/>
          <w:sz w:val="28"/>
        </w:rPr>
        <w:t>2.2.1 Epidemiology and Clinical Features</w:t>
      </w:r>
    </w:p>
    <w:p w14:paraId="45D91E04">
      <w:pPr>
        <w:spacing w:after="160" w:line="360" w:lineRule="auto"/>
        <w:jc w:val="both"/>
        <w:rPr>
          <w:sz w:val="28"/>
        </w:rPr>
      </w:pPr>
      <w:r>
        <w:rPr>
          <w:sz w:val="28"/>
        </w:rPr>
        <w:t>Psoriasis affects between 0.09% and 5.1% of the global population, with the highest prevalence rates reported in Northern Europe (Norway: 8.5%) and the lowest in East and South-East Asia. In South Asia and the Middle East, estimates range from 0.5% to 2.5%. In Afghanistan, no nationwide prevalence study has been conducted; institutional data from major hospitals suggest psoriasis accounts for approximately 2–3% of all dermatology visits.</w:t>
      </w:r>
    </w:p>
    <w:p w14:paraId="65D04D79">
      <w:pPr>
        <w:spacing w:after="160" w:line="360" w:lineRule="auto"/>
        <w:jc w:val="both"/>
        <w:rPr>
          <w:sz w:val="28"/>
        </w:rPr>
      </w:pPr>
      <w:r>
        <w:rPr>
          <w:sz w:val="28"/>
        </w:rPr>
        <w:t>Chronic plaque psoriasis accounts for 80–90% of all psoriasis cases. The disease typically follows a relapsing-remitting course, with flares triggered by infection (particularly streptococcal pharyngitis), psychological stress, cutaneous trauma (the Köbner phenomenon), certain medications (beta-blockers, lithium, antimalarials), and environmental factors including cold weather and excessive alcohol consumption. Two bimodal peaks of onset have been described: Type I (early onset, ages 16–22), which is more strongly heritable and tends to be more severe, and Type II (late onset, ages 57–60), which is milder but often associated with greater comorbidity burden.</w:t>
      </w:r>
    </w:p>
    <w:p w14:paraId="0E023688">
      <w:pPr>
        <w:pStyle w:val="4"/>
        <w:spacing w:line="360" w:lineRule="auto"/>
        <w:jc w:val="both"/>
        <w:rPr>
          <w:i w:val="0"/>
          <w:iCs/>
          <w:sz w:val="28"/>
        </w:rPr>
      </w:pPr>
      <w:bookmarkStart w:id="24" w:name="__RefHeading___91845"/>
      <w:bookmarkEnd w:id="24"/>
      <w:r>
        <w:rPr>
          <w:i w:val="0"/>
          <w:iCs/>
          <w:sz w:val="28"/>
        </w:rPr>
        <w:t>2.2.2 Immunopathogenesis</w:t>
      </w:r>
    </w:p>
    <w:p w14:paraId="463A68B2">
      <w:pPr>
        <w:spacing w:after="160" w:line="360" w:lineRule="auto"/>
        <w:jc w:val="both"/>
        <w:rPr>
          <w:sz w:val="28"/>
        </w:rPr>
      </w:pPr>
      <w:r>
        <w:rPr>
          <w:sz w:val="28"/>
        </w:rPr>
        <w:t>The immunological basis of psoriasis involves a complex interplay between innate and adaptive immune pathways. Plasmacytoid dendritic cells (pDCs) respond to self-DNA released from keratinocyte damage by producing interferon-alpha, initiating an innate immune cascade that subsequently activates myeloid dendritic cells. These cells migrate to regional lymph nodes, present antigens to naïve T cells, and — critically — produce IL-23, which drives the differentiation of Th17 lymphocytes. Th17 cells produce IL-17A, IL-17F, and IL-22, which act on keratinocytes to promote hyperproliferation, impair terminal differentiation, and recruit additional inflammatory cells to the epidermis.</w:t>
      </w:r>
    </w:p>
    <w:p w14:paraId="052F32A1">
      <w:pPr>
        <w:spacing w:after="160" w:line="360" w:lineRule="auto"/>
        <w:jc w:val="both"/>
        <w:rPr>
          <w:sz w:val="28"/>
        </w:rPr>
      </w:pPr>
      <w:r>
        <w:rPr>
          <w:sz w:val="28"/>
        </w:rPr>
        <w:t>Beyond IL-17, the psoriatic cytokine milieu includes TNF-α, IL-6, IL-1β, and a range of chemokines that sustain the inflammatory infiltrate. It is the systemic spillover of these mediators — detectable in peripheral blood and implicated in remote organ effects — that underpins the cardiometabolic comorbidities of psoriasis. TNF-α directly induces insulin resistance by serine phosphorylation of insulin receptor substrate-1 (IRS-1). IL-6 stimulates hepatic VLDL (very low-density lipoprotein) production, raising circulating triglycerides. IL-17 promotes endothelial dysfunction and impairs nitric oxide bioavailability, contributing to hypertension.</w:t>
      </w:r>
    </w:p>
    <w:p w14:paraId="6DF17D91">
      <w:pPr>
        <w:spacing w:after="160" w:line="360" w:lineRule="auto"/>
        <w:jc w:val="both"/>
        <w:rPr>
          <w:sz w:val="28"/>
        </w:rPr>
      </w:pPr>
      <w:r>
        <w:drawing>
          <wp:inline distT="0" distB="0" distL="0" distR="0">
            <wp:extent cx="5733415" cy="36569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rcRect/>
                    <a:stretch>
                      <a:fillRect/>
                    </a:stretch>
                  </pic:blipFill>
                  <pic:spPr>
                    <a:xfrm>
                      <a:off x="0" y="0"/>
                      <a:ext cx="5734049" cy="3657599"/>
                    </a:xfrm>
                    <a:prstGeom prst="rect">
                      <a:avLst/>
                    </a:prstGeom>
                  </pic:spPr>
                </pic:pic>
              </a:graphicData>
            </a:graphic>
          </wp:inline>
        </w:drawing>
      </w:r>
    </w:p>
    <w:p w14:paraId="22A00A32">
      <w:pPr>
        <w:spacing w:before="80" w:after="200"/>
        <w:jc w:val="center"/>
        <w:rPr>
          <w:iCs/>
        </w:rPr>
      </w:pPr>
      <w:r>
        <w:rPr>
          <w:iCs/>
          <w:sz w:val="22"/>
        </w:rPr>
        <w:t>Scheme 2.1: Biological Pathways Linking Psoriatic Inflammation to Metabolic Syndrome. Psoriasis drives systemic overproduction of TNF-α, IL-17, IL-6, and IL-23. These cytokines independently promote insulin resistance (→ hyperglycaemia), hepatic VLDL overproduction (→ hypertriglyceridaemia, ↓ HDL-C), endothelial dysfunction (→ hypertension), and adipose tissue crosstalk (→ central obesity) — collectively constituting metabolic syndrome and elevating cardiovascular and diabetes risk.</w:t>
      </w:r>
    </w:p>
    <w:p w14:paraId="3B18301E">
      <w:pPr>
        <w:pStyle w:val="4"/>
        <w:spacing w:line="360" w:lineRule="auto"/>
        <w:jc w:val="both"/>
        <w:rPr>
          <w:i w:val="0"/>
          <w:iCs/>
          <w:sz w:val="28"/>
        </w:rPr>
      </w:pPr>
      <w:bookmarkStart w:id="25" w:name="__RefHeading___91846"/>
      <w:bookmarkEnd w:id="25"/>
      <w:r>
        <w:rPr>
          <w:i w:val="0"/>
          <w:iCs/>
          <w:sz w:val="28"/>
        </w:rPr>
        <w:t>2.2.3 Psoriasis as a Systemic Disease: Comorbidity Burden</w:t>
      </w:r>
    </w:p>
    <w:p w14:paraId="7B8CF1D8">
      <w:pPr>
        <w:spacing w:after="160" w:line="360" w:lineRule="auto"/>
        <w:jc w:val="both"/>
        <w:rPr>
          <w:sz w:val="28"/>
        </w:rPr>
      </w:pPr>
      <w:r>
        <w:rPr>
          <w:sz w:val="28"/>
        </w:rPr>
        <w:t>The recognition of psoriasis as a systemic inflammatory disease has been accompanied by the identification of a broad comorbidity profile extending well beyond the skin. The most extensively documented associations are with psoriatic arthritis (affecting 20–30% of patients), cardiovascular disease, metabolic syndrome, depression and anxiety, inflammatory bowel disease, uveitis, and non-alcoholic fatty liver disease. Large epidemiological studies have demonstrated that psoriasis patients have a significantly reduced life expectancy — estimated at 3.5 to 4.4 years shorter than the general population — driven primarily by excess cardiovascular mortality.</w:t>
      </w:r>
    </w:p>
    <w:p w14:paraId="0BD2E356">
      <w:pPr>
        <w:pStyle w:val="3"/>
        <w:spacing w:line="360" w:lineRule="auto"/>
        <w:jc w:val="both"/>
        <w:rPr>
          <w:sz w:val="28"/>
        </w:rPr>
      </w:pPr>
      <w:bookmarkStart w:id="26" w:name="__RefHeading___91847"/>
      <w:bookmarkEnd w:id="26"/>
      <w:r>
        <w:rPr>
          <w:sz w:val="28"/>
        </w:rPr>
        <w:t>2.3 Metabolic Syndrome: Definition, Epidemiology, and Pathophysiology</w:t>
      </w:r>
    </w:p>
    <w:p w14:paraId="62095510">
      <w:pPr>
        <w:pStyle w:val="4"/>
        <w:spacing w:line="360" w:lineRule="auto"/>
        <w:jc w:val="both"/>
        <w:rPr>
          <w:i w:val="0"/>
          <w:iCs/>
          <w:sz w:val="28"/>
        </w:rPr>
      </w:pPr>
      <w:bookmarkStart w:id="27" w:name="__RefHeading___91848"/>
      <w:bookmarkEnd w:id="27"/>
      <w:r>
        <w:rPr>
          <w:i w:val="0"/>
          <w:iCs/>
          <w:sz w:val="28"/>
        </w:rPr>
        <w:t>2.3.1 Diagnostic Criteria</w:t>
      </w:r>
    </w:p>
    <w:p w14:paraId="4E836F08">
      <w:pPr>
        <w:spacing w:after="160" w:line="360" w:lineRule="auto"/>
        <w:jc w:val="both"/>
        <w:rPr>
          <w:sz w:val="28"/>
        </w:rPr>
      </w:pPr>
      <w:r>
        <w:rPr>
          <w:sz w:val="28"/>
        </w:rPr>
        <w:t>Metabolic syndrome is not a single disease but a clinical construct identifying patients at high risk of type 2 diabetes mellitus and atherosclerotic cardiovascular disease. Since its first formal definition by Reaven in 1988 (who termed it 'Syndrome X'), multiple competing diagnostic criteria have been proposed by the World Health Organization (WHO), the European Group for the Study of Insulin Resistance (EGIR), the National Cholesterol Education Program Adult Treatment Panel III (NCEP ATP III), the International Diabetes Federation (IDF), and others. The harmonised consensus definition published in 2009 — endorsed jointly by the International Diabetes Federation, the National Heart, Lung, and Blood Institute, the American Heart Association, the World Heart Federation, the International Atherosclerosis Society, and the International Association for the Study of Obesity — requires the presence of any three of five abnormalities: elevated waist circumference (with population-specific cutoffs), elevated triglycerides, reduced HDL-C, elevated blood pressure, and elevated fasting glucose.</w:t>
      </w:r>
    </w:p>
    <w:p w14:paraId="60A5FDB8">
      <w:pPr>
        <w:spacing w:after="160" w:line="360" w:lineRule="auto"/>
        <w:jc w:val="both"/>
        <w:rPr>
          <w:sz w:val="28"/>
        </w:rPr>
      </w:pPr>
      <w:r>
        <w:rPr>
          <w:sz w:val="28"/>
        </w:rPr>
        <w:t>For South Asian and Central Asian populations, the harmonised criteria recommend waist circumference cutoffs of ≥90 cm (men) and ≥80 cm (women), which are lower than Western cutoffs, reflecting the well-documented 'South Asian paradox': individuals of South Asian origin develop insulin resistance and cardiovascular risk at lower BMI and waist circumference levels than Europeans.</w:t>
      </w:r>
    </w:p>
    <w:p w14:paraId="66EB13EE">
      <w:pPr>
        <w:pStyle w:val="4"/>
        <w:spacing w:line="360" w:lineRule="auto"/>
        <w:jc w:val="both"/>
        <w:rPr>
          <w:i w:val="0"/>
          <w:iCs/>
          <w:sz w:val="28"/>
        </w:rPr>
      </w:pPr>
      <w:bookmarkStart w:id="28" w:name="__RefHeading___91849"/>
      <w:bookmarkEnd w:id="28"/>
      <w:r>
        <w:rPr>
          <w:i w:val="0"/>
          <w:iCs/>
          <w:sz w:val="28"/>
        </w:rPr>
        <w:t>2.3.2 Global and Regional Epidemiology</w:t>
      </w:r>
    </w:p>
    <w:p w14:paraId="14883E82">
      <w:pPr>
        <w:spacing w:after="160" w:line="360" w:lineRule="auto"/>
        <w:jc w:val="both"/>
        <w:rPr>
          <w:sz w:val="28"/>
        </w:rPr>
      </w:pPr>
      <w:r>
        <w:rPr>
          <w:sz w:val="28"/>
        </w:rPr>
        <w:t>The global prevalence of metabolic syndrome has reached pandemic proportions, estimated at 20–25% of the world's adult population. National estimates vary from approximately 35% in the United States to 20–30% in Western Europe and 25–35% in South Asia and the Middle East. In Afghanistan, population-level data are extremely scarce. The only available estimate, derived from a 2013 cross-sectional study conducted in Kabul, reported a metabolic syndrome prevalence of 31.8% among urban adults. Rural prevalence data do not exist.</w:t>
      </w:r>
    </w:p>
    <w:p w14:paraId="0FB39C0D">
      <w:pPr>
        <w:pStyle w:val="4"/>
        <w:spacing w:line="360" w:lineRule="auto"/>
        <w:jc w:val="both"/>
        <w:rPr>
          <w:i w:val="0"/>
          <w:iCs/>
          <w:sz w:val="28"/>
        </w:rPr>
      </w:pPr>
      <w:bookmarkStart w:id="29" w:name="__RefHeading___91850"/>
      <w:bookmarkEnd w:id="29"/>
      <w:r>
        <w:rPr>
          <w:i w:val="0"/>
          <w:iCs/>
          <w:sz w:val="28"/>
        </w:rPr>
        <w:t>2.3.3 Pathophysiological Mechanisms</w:t>
      </w:r>
    </w:p>
    <w:p w14:paraId="6E43183E">
      <w:pPr>
        <w:spacing w:after="160" w:line="360" w:lineRule="auto"/>
        <w:jc w:val="both"/>
        <w:rPr>
          <w:sz w:val="28"/>
        </w:rPr>
      </w:pPr>
      <w:r>
        <w:rPr>
          <w:sz w:val="28"/>
        </w:rPr>
        <w:t>The central pathophysiological mechanism of metabolic syndrome is insulin resistance, which is closely linked to the accumulation of visceral (intra-abdominal) adipose tissue. Unlike subcutaneous fat, visceral adipose tissue is metabolically active, secreting a range of adipokines (including leptin, resistin, and visfatin) and pro-inflammatory cytokines (including TNF-α, IL-6, and IL-1β) that promote systemic insulin resistance, hepatic dyslipidaemia (elevated VLDL and triglycerides, reduced HDL-C), and vascular inflammation. The result is a self-amplifying cycle in which metabolic dysregulation begets further inflammation, and inflammation begets further metabolic dysregulation.</w:t>
      </w:r>
    </w:p>
    <w:p w14:paraId="6A53982D">
      <w:pPr>
        <w:pStyle w:val="3"/>
        <w:spacing w:line="360" w:lineRule="auto"/>
        <w:jc w:val="both"/>
        <w:rPr>
          <w:sz w:val="28"/>
        </w:rPr>
      </w:pPr>
      <w:bookmarkStart w:id="30" w:name="__RefHeading___91851"/>
      <w:bookmarkEnd w:id="30"/>
    </w:p>
    <w:p w14:paraId="391CC785">
      <w:pPr>
        <w:pStyle w:val="3"/>
        <w:spacing w:line="360" w:lineRule="auto"/>
        <w:jc w:val="both"/>
        <w:rPr>
          <w:sz w:val="28"/>
        </w:rPr>
      </w:pPr>
    </w:p>
    <w:p w14:paraId="3D0D1C26">
      <w:pPr>
        <w:pStyle w:val="3"/>
        <w:spacing w:line="360" w:lineRule="auto"/>
        <w:jc w:val="both"/>
        <w:rPr>
          <w:sz w:val="28"/>
        </w:rPr>
      </w:pPr>
      <w:r>
        <w:rPr>
          <w:sz w:val="28"/>
        </w:rPr>
        <w:t>2.4 The Association Between Psoriasis and Metabolic Syndrome</w:t>
      </w:r>
    </w:p>
    <w:p w14:paraId="0CDA6CBB">
      <w:pPr>
        <w:pStyle w:val="4"/>
        <w:spacing w:line="360" w:lineRule="auto"/>
        <w:jc w:val="both"/>
        <w:rPr>
          <w:i w:val="0"/>
          <w:iCs/>
          <w:sz w:val="28"/>
        </w:rPr>
      </w:pPr>
      <w:bookmarkStart w:id="31" w:name="__RefHeading___91852"/>
      <w:bookmarkEnd w:id="31"/>
      <w:r>
        <w:rPr>
          <w:i w:val="0"/>
          <w:iCs/>
          <w:sz w:val="28"/>
        </w:rPr>
        <w:t>2.4.1 Global Evidence</w:t>
      </w:r>
    </w:p>
    <w:p w14:paraId="642D6D0A">
      <w:pPr>
        <w:spacing w:after="160" w:line="360" w:lineRule="auto"/>
        <w:jc w:val="both"/>
        <w:rPr>
          <w:sz w:val="28"/>
        </w:rPr>
      </w:pPr>
      <w:r>
        <w:rPr>
          <w:sz w:val="28"/>
        </w:rPr>
        <w:t>The most rigorous synthesis of evidence on the psoriasis–MetS association was published by Armstrong and colleagues in 2013. This systematic review and meta-analysis incorporated 35 independent studies, including a total of 1,426,732 psoriasis patients and 56,635,779 controls. The pooled odds ratio for metabolic syndrome in psoriasis patients compared to controls was 2.14 (95% CI: 1.98–2.31). Critically, the odds ratio was substantially higher for severe psoriasis (OR = 5.29) than for mild psoriasis (OR = 1.98), establishing a clear dose-response gradient. A subsequent meta-analysis by Langan and colleagues, focusing specifically on incident metabolic syndrome, confirmed the prospective association (HR = 1.39).</w:t>
      </w:r>
    </w:p>
    <w:p w14:paraId="3F2FFF63">
      <w:pPr>
        <w:spacing w:after="160" w:line="360" w:lineRule="auto"/>
        <w:jc w:val="both"/>
        <w:rPr>
          <w:sz w:val="28"/>
        </w:rPr>
      </w:pPr>
      <w:r>
        <w:rPr>
          <w:sz w:val="28"/>
        </w:rPr>
        <w:t>Large national registry studies from Denmark (Ahlehoff et al., 2011) and the United Kingdom (Gelfand et al., 2006) have demonstrated that psoriasis patients have significantly elevated rates of myocardial infarction, stroke, and cardiovascular mortality after adjustment for traditional risk factors. The Danish study, following over 34,000 psoriasis patients for a mean of 5.4 years, found an adjusted hazard ratio of 1.20 for major cardiovascular events in patients with mild psoriasis and 1.41 in those with severe psoriasis, compared to the general population.</w:t>
      </w:r>
    </w:p>
    <w:p w14:paraId="2AFF53DB">
      <w:pPr>
        <w:pStyle w:val="4"/>
        <w:spacing w:line="360" w:lineRule="auto"/>
        <w:jc w:val="both"/>
        <w:rPr>
          <w:i w:val="0"/>
          <w:iCs/>
          <w:sz w:val="28"/>
        </w:rPr>
      </w:pPr>
      <w:bookmarkStart w:id="32" w:name="__RefHeading___91853"/>
      <w:bookmarkEnd w:id="32"/>
      <w:r>
        <w:rPr>
          <w:i w:val="0"/>
          <w:iCs/>
          <w:sz w:val="28"/>
        </w:rPr>
        <w:t>2.4.2 Regional Evidence — South Asia and Central Asia</w:t>
      </w:r>
    </w:p>
    <w:p w14:paraId="19A9795E">
      <w:pPr>
        <w:spacing w:after="160" w:line="360" w:lineRule="auto"/>
        <w:jc w:val="both"/>
        <w:rPr>
          <w:sz w:val="28"/>
        </w:rPr>
      </w:pPr>
      <w:r>
        <w:rPr>
          <w:sz w:val="28"/>
        </w:rPr>
        <w:t>Several studies from neighbouring countries are particularly relevant to the Afghan context. A case-control study by Salunke and colleagues in India (2017) found metabolic syndrome in 38.9% of psoriasis patients versus 21.0% of controls, yielding an OR of 2.41. An Iranian case-control study by Farshchian and colleagues (2011) reported MetS in 32.5% of psoriasis patients versus 16.3% of controls. A Turkish study (Akcali et al., 2014) found MetS in 34.4% of psoriasis patients versus 16.7% of controls (OR = 2.61). The consistency of these regional findings — all yielding odds ratios of approximately 2.0–2.6, with psoriasis prevalence in the 32–39% range — suggests that the association is robust across ethnically and environmentally distinct South-Central Asian populations.</w:t>
      </w:r>
    </w:p>
    <w:p w14:paraId="6241A5E7">
      <w:pPr>
        <w:pStyle w:val="4"/>
        <w:spacing w:line="360" w:lineRule="auto"/>
        <w:jc w:val="both"/>
        <w:rPr>
          <w:i w:val="0"/>
          <w:iCs/>
          <w:sz w:val="28"/>
        </w:rPr>
      </w:pPr>
      <w:bookmarkStart w:id="33" w:name="__RefHeading___91854"/>
      <w:bookmarkEnd w:id="33"/>
      <w:r>
        <w:rPr>
          <w:i w:val="0"/>
          <w:iCs/>
          <w:sz w:val="28"/>
        </w:rPr>
        <w:t>2.4.3 Individual Components of Metabolic Syndrome in Psoriasis</w:t>
      </w:r>
    </w:p>
    <w:p w14:paraId="57C38AD3">
      <w:pPr>
        <w:spacing w:after="160" w:line="360" w:lineRule="auto"/>
        <w:jc w:val="both"/>
        <w:rPr>
          <w:sz w:val="28"/>
        </w:rPr>
      </w:pPr>
      <w:r>
        <w:rPr>
          <w:sz w:val="28"/>
        </w:rPr>
        <w:t>All five components of metabolic syndrome are elevated in psoriasis patients. Hypertriglyceridaemia shows the most consistent and strongest association, reflecting direct IL-6-mediated hepatic VLDL overproduction and TNF-α-mediated inhibition of lipoprotein lipase. Central obesity and overweight are consistently elevated, reflecting the bidirectional relationship between inflammatory adipokines and psoriasis severity. Hypertension in psoriasis is mediated by endothelial dysfunction, reduced nitric oxide bioavailability, and activation of the renin-angiotensin-aldosterone system. Impaired fasting glucose and insulin resistance are driven by TNF-α-mediated IRS-1 serine phosphorylation. Low HDL-C results from impaired reverse cholesterol transport and accelerated HDL catabolism in the context of systemic inflammation.</w:t>
      </w:r>
    </w:p>
    <w:p w14:paraId="4DD35D53">
      <w:pPr>
        <w:pStyle w:val="4"/>
        <w:spacing w:line="360" w:lineRule="auto"/>
        <w:jc w:val="both"/>
        <w:rPr>
          <w:i w:val="0"/>
          <w:iCs/>
          <w:sz w:val="28"/>
        </w:rPr>
      </w:pPr>
      <w:bookmarkStart w:id="34" w:name="__RefHeading___91855"/>
      <w:bookmarkEnd w:id="34"/>
      <w:r>
        <w:rPr>
          <w:i w:val="0"/>
          <w:iCs/>
          <w:sz w:val="28"/>
        </w:rPr>
        <w:t>2.4.4 The Dose-Response Relationship and Causal Inference</w:t>
      </w:r>
    </w:p>
    <w:p w14:paraId="17C0CADD">
      <w:pPr>
        <w:spacing w:after="160" w:line="360" w:lineRule="auto"/>
        <w:jc w:val="both"/>
        <w:rPr>
          <w:sz w:val="28"/>
        </w:rPr>
      </w:pPr>
      <w:r>
        <w:rPr>
          <w:sz w:val="28"/>
        </w:rPr>
        <w:t>The dose-response relationship between psoriasis severity and metabolic risk is one of the strongest arguments for a causal, rather than merely associational, link between the two conditions. Armstrong's meta-analysis demonstrated a stepwise increase in MetS odds from mild to severe psoriasis. At the individual component level, the risk of hypertriglyceridaemia, obesity, hypertension, and hyperglycaemia all increase with PASI score. Patients with psoriatic arthritis — representing the highest burden of systemic inflammation — have even greater MetS risk than those with skin-only psoriasis.</w:t>
      </w:r>
    </w:p>
    <w:p w14:paraId="7C989319">
      <w:pPr>
        <w:spacing w:after="160" w:line="360" w:lineRule="auto"/>
        <w:jc w:val="both"/>
        <w:rPr>
          <w:sz w:val="28"/>
        </w:rPr>
      </w:pPr>
      <w:r>
        <w:rPr>
          <w:sz w:val="28"/>
        </w:rPr>
        <w:t>From a Bradford-Hill causal inference perspective, the psoriasis–MetS association satisfies the criteria of strength, consistency, biological gradient (dose-response), biological plausibility, coherence, and analogy. The only criterion not yet fully established in the psoriasis literature is temporality in the reverse direction (i.e., whether treating psoriasis improves metabolic outcomes) — though emerging data from biologic therapy trials (particularly TNF-α inhibitors and IL-17 inhibitors) suggest that systemic anti-psoriatic treatment may indeed reduce cardiometabolic risk.</w:t>
      </w:r>
    </w:p>
    <w:p w14:paraId="6D272EB5">
      <w:pPr>
        <w:pStyle w:val="3"/>
        <w:spacing w:line="360" w:lineRule="auto"/>
        <w:jc w:val="both"/>
        <w:rPr>
          <w:sz w:val="28"/>
        </w:rPr>
      </w:pPr>
      <w:bookmarkStart w:id="35" w:name="__RefHeading___91856"/>
      <w:bookmarkEnd w:id="35"/>
      <w:r>
        <w:rPr>
          <w:sz w:val="28"/>
        </w:rPr>
        <w:t>2.5 The Role of Psoriatic Arthritis</w:t>
      </w:r>
    </w:p>
    <w:p w14:paraId="3D1D4207">
      <w:pPr>
        <w:spacing w:after="160" w:line="360" w:lineRule="auto"/>
        <w:jc w:val="both"/>
        <w:rPr>
          <w:sz w:val="28"/>
        </w:rPr>
      </w:pPr>
      <w:r>
        <w:rPr>
          <w:sz w:val="28"/>
        </w:rPr>
        <w:t>Psoriatic arthritis (PsA) affects approximately 20–30% of psoriasis patients and represents a higher burden of systemic inflammation than cutaneous-only psoriasis. A meta-analysis by Mease and colleagues found that PsA patients had a pooled OR of 1.73 for metabolic syndrome compared to controls without psoriasis or PsA, and significantly higher rates of individual MetS components than patients with cutaneous psoriasis alone. In the present study, PsA patients were included within the case group, and the presence of PsA was recorded as a covariate for subgroup analysis.</w:t>
      </w:r>
    </w:p>
    <w:p w14:paraId="572F2DE0">
      <w:pPr>
        <w:pStyle w:val="3"/>
        <w:spacing w:line="360" w:lineRule="auto"/>
        <w:jc w:val="both"/>
        <w:rPr>
          <w:sz w:val="28"/>
        </w:rPr>
      </w:pPr>
      <w:bookmarkStart w:id="36" w:name="__RefHeading___91857"/>
      <w:bookmarkEnd w:id="36"/>
      <w:r>
        <w:rPr>
          <w:sz w:val="28"/>
        </w:rPr>
        <w:t>2.6 The Psychosocial Dimension and Its Metabolic Consequences</w:t>
      </w:r>
    </w:p>
    <w:p w14:paraId="109142CF">
      <w:pPr>
        <w:spacing w:after="160" w:line="360" w:lineRule="auto"/>
        <w:jc w:val="both"/>
        <w:rPr>
          <w:sz w:val="28"/>
        </w:rPr>
      </w:pPr>
      <w:r>
        <w:rPr>
          <w:sz w:val="28"/>
        </w:rPr>
        <w:t>The relationship between psoriasis and metabolic risk is not purely biological. Psoriasis imposes a profound psychosocial burden: stigmatisation, social isolation, avoidance of physical activity (due to embarrassment about skin appearance), depression, and anxiety are all significantly more prevalent in psoriasis patients than in the general population. Each of these psychosocial consequences has downstream metabolic effects. Physical inactivity reduces insulin sensitivity and HDL-C. Depression is associated with dysregulation of the hypothalamic-pituitary-adrenal (HPA) axis, increasing cortisol levels and promoting visceral fat accumulation. Stress-driven emotional eating promotes weight gain. In this way, the psychosocial burden of psoriasis creates a second, behavioural pathway linking the disease to metabolic syndrome.</w:t>
      </w:r>
    </w:p>
    <w:p w14:paraId="59ACC72D">
      <w:pPr>
        <w:pStyle w:val="3"/>
        <w:spacing w:line="360" w:lineRule="auto"/>
        <w:jc w:val="both"/>
        <w:rPr>
          <w:sz w:val="28"/>
        </w:rPr>
      </w:pPr>
      <w:bookmarkStart w:id="37" w:name="__RefHeading___91858"/>
      <w:bookmarkEnd w:id="37"/>
      <w:r>
        <w:rPr>
          <w:sz w:val="28"/>
        </w:rPr>
        <w:t>2.7 The Evidential Gap: Afghanistan</w:t>
      </w:r>
    </w:p>
    <w:p w14:paraId="62A9F80E">
      <w:pPr>
        <w:spacing w:after="160" w:line="360" w:lineRule="auto"/>
        <w:jc w:val="both"/>
        <w:rPr>
          <w:sz w:val="28"/>
        </w:rPr>
      </w:pPr>
      <w:r>
        <w:rPr>
          <w:sz w:val="28"/>
        </w:rPr>
        <w:t>As of December 2025, no published study has examined the prevalence of metabolic syndrome or its individual components in Afghan psoriasis patients. This gap is not trivial. Afghanistan's population has unique genetic admixture characteristics, a history of prolonged war-related psychological stress (which independently promotes metabolic dysregulation via cortisol hypersecretion), rapidly changing dietary and physical activity patterns associated with urbanisation, and severely limited healthcare resources that make metabolic complications far more likely to go undetected and untreated than in higher-income settings. The extrapolation of MetS screening recommendations developed for European or Indian populations to Afghan patients is scientifically unjustified until local evidence is available. The present study was conducted precisely to generate that evidence.</w:t>
      </w:r>
    </w:p>
    <w:p w14:paraId="4A63B10C">
      <w:pPr>
        <w:spacing w:after="160" w:line="360" w:lineRule="auto"/>
        <w:jc w:val="both"/>
        <w:rPr>
          <w:sz w:val="28"/>
        </w:rPr>
      </w:pPr>
      <w:r>
        <w:rPr>
          <w:rStyle w:val="51"/>
          <w:b/>
          <w:color w:val="000000"/>
          <w:sz w:val="28"/>
        </w:rPr>
        <w:t>Key Conclusion:</w:t>
      </w:r>
      <w:r>
        <w:rPr>
          <w:b/>
          <w:color w:val="1F3864"/>
        </w:rPr>
        <w:t xml:space="preserve"> </w:t>
      </w:r>
      <w:r>
        <w:rPr>
          <w:rStyle w:val="30"/>
          <w:sz w:val="28"/>
        </w:rPr>
        <w:t>Chapter II established the scientific, clinical, and public health rationale for this investigation. Psoriasis — originally regarded as a localised skin disease — has been reconceptualised over the past two decades as a systemic inflammatory condition driven by overproduction of TNF-α, IL-17, and IL-23. These cytokines circulate beyond the epidermis, exerting direct metabolic toxicity on the vasculature, liver, adipose tissue, and insulin-signalling pathways. The consequence is a measurably elevated susceptibility to metabolic syndrome (MetS), a cluster of five cardiometabolic abnormalities that doubles cardiovascular mortality risk and quintuples type 2 diabetes risk.</w:t>
      </w:r>
    </w:p>
    <w:p w14:paraId="4927C2FE">
      <w:pPr>
        <w:spacing w:after="160" w:line="360" w:lineRule="auto"/>
        <w:jc w:val="both"/>
        <w:rPr>
          <w:sz w:val="28"/>
        </w:rPr>
      </w:pPr>
      <w:r>
        <w:rPr>
          <w:rStyle w:val="30"/>
          <w:sz w:val="28"/>
        </w:rPr>
        <w:t>Global meta-analysis (Armstrong et al., 2013) involving 1.4 million psoriasis patients has established a pooled odds ratio of 2.14 for MetS in psoriasis versus the general population, rising to 5.29 in severe disease. Regional studies from India, Iran, Turkey, and Pakistan — populations genetically and environmentally closer to Afghanistan than the European populations that dominate the literature — consistently replicate this finding with odds ratios of 2.0–2.6. Despite this robust evidence base, Afghanistan remains entirely unrepresented: no published study had examined the psoriasis–MetS association in any Afghan population.</w:t>
      </w:r>
    </w:p>
    <w:p w14:paraId="2781507E">
      <w:pPr>
        <w:spacing w:after="160" w:line="360" w:lineRule="auto"/>
        <w:jc w:val="both"/>
        <w:rPr>
          <w:sz w:val="28"/>
        </w:rPr>
      </w:pPr>
      <w:r>
        <w:rPr>
          <w:rStyle w:val="30"/>
          <w:sz w:val="28"/>
        </w:rPr>
        <w:t>This chapter articulated four specific research objectives: to describe participant profiles; to measure MetS prevalence in both groups; to calculate crude and adjusted odds ratios; and to examine the dose-response relationship between PASI score and MetS risk. The alternative hypothesis — that psoriasis patients carry significantly higher MetS prevalence, with risk escalating proportionally with disease severity — is grounded in both biological mechanism and global empirical precedent. Faryab State Hospital, as the sole tertiary referral centre for 1.3 million inhabitants of northern Afghanistan, represents the optimal and most practically impactful setting in which to generate this missing evidence.</w:t>
      </w:r>
    </w:p>
    <w:p w14:paraId="76D05A8E">
      <w:pPr>
        <w:spacing w:after="160" w:line="360" w:lineRule="auto"/>
        <w:jc w:val="both"/>
        <w:rPr>
          <w:sz w:val="28"/>
        </w:rPr>
      </w:pPr>
    </w:p>
    <w:p w14:paraId="684B88C1">
      <w:pPr>
        <w:spacing w:line="360" w:lineRule="auto"/>
        <w:jc w:val="both"/>
        <w:rPr>
          <w:sz w:val="28"/>
        </w:rPr>
      </w:pPr>
      <w:r>
        <w:rPr>
          <w:sz w:val="28"/>
        </w:rPr>
        <w:br w:type="page"/>
      </w:r>
      <w:bookmarkStart w:id="38" w:name="__RefHeading___91859"/>
      <w:bookmarkEnd w:id="38"/>
      <w:r>
        <w:rPr>
          <w:sz w:val="28"/>
        </w:rPr>
        <w:t xml:space="preserve">                                             </w:t>
      </w:r>
      <w:r>
        <w:rPr>
          <w:b/>
          <w:caps/>
          <w:sz w:val="36"/>
        </w:rPr>
        <w:t>Chapter III</w:t>
      </w:r>
    </w:p>
    <w:p w14:paraId="776CBF40">
      <w:pPr>
        <w:pStyle w:val="2"/>
        <w:spacing w:before="400" w:after="200"/>
        <w:jc w:val="center"/>
        <w:rPr>
          <w:color w:val="000000"/>
          <w:sz w:val="36"/>
        </w:rPr>
      </w:pPr>
      <w:bookmarkStart w:id="39" w:name="__RefHeading___91860"/>
      <w:bookmarkEnd w:id="39"/>
      <w:r>
        <w:rPr>
          <w:b/>
          <w:caps/>
          <w:color w:val="000000"/>
          <w:sz w:val="36"/>
        </w:rPr>
        <w:t>Research Methodology</w:t>
      </w:r>
    </w:p>
    <w:p w14:paraId="2550DB8F">
      <w:pPr>
        <w:pStyle w:val="2"/>
        <w:spacing w:before="400" w:after="200"/>
        <w:jc w:val="center"/>
        <w:rPr>
          <w:color w:val="000000"/>
          <w:sz w:val="36"/>
        </w:rPr>
      </w:pPr>
      <w:bookmarkStart w:id="40" w:name="__RefHeading___91861"/>
      <w:bookmarkEnd w:id="40"/>
      <w:r>
        <w:rPr>
          <w:b/>
          <w:color w:val="000000"/>
          <w:sz w:val="36"/>
        </w:rPr>
        <w:t>__________________________________________________</w:t>
      </w:r>
    </w:p>
    <w:p w14:paraId="35DAF7D7">
      <w:pPr>
        <w:pStyle w:val="3"/>
        <w:spacing w:line="360" w:lineRule="auto"/>
        <w:jc w:val="both"/>
        <w:rPr>
          <w:sz w:val="28"/>
        </w:rPr>
      </w:pPr>
      <w:bookmarkStart w:id="41" w:name="__RefHeading___91862"/>
      <w:bookmarkEnd w:id="41"/>
      <w:r>
        <w:rPr>
          <w:sz w:val="28"/>
        </w:rPr>
        <w:t>3.1 Study Design</w:t>
      </w:r>
    </w:p>
    <w:p w14:paraId="1DB1DB43">
      <w:pPr>
        <w:spacing w:after="160" w:line="360" w:lineRule="auto"/>
        <w:jc w:val="both"/>
        <w:rPr>
          <w:sz w:val="28"/>
        </w:rPr>
      </w:pPr>
      <w:r>
        <w:rPr>
          <w:sz w:val="28"/>
        </w:rPr>
        <w:t>A hospital-based, analytical case-control study design was employed. Case-control studies are particularly well-suited to the investigation of associations between a specific exposure (psoriasis) and an outcome (metabolic syndrome) when the outcome is not rare but the study period is limited. This design allows the simultaneous examination of multiple metabolic outcomes for a single exposure, and is feasible within the resource and time constraints of the study setting.</w:t>
      </w:r>
    </w:p>
    <w:p w14:paraId="359F9BC7">
      <w:pPr>
        <w:pStyle w:val="3"/>
        <w:spacing w:line="360" w:lineRule="auto"/>
        <w:jc w:val="both"/>
        <w:rPr>
          <w:sz w:val="28"/>
        </w:rPr>
      </w:pPr>
      <w:bookmarkStart w:id="42" w:name="__RefHeading___91863"/>
      <w:bookmarkEnd w:id="42"/>
      <w:r>
        <w:rPr>
          <w:sz w:val="28"/>
        </w:rPr>
        <w:t>3.2 Study Setting</w:t>
      </w:r>
    </w:p>
    <w:p w14:paraId="2D447BE4">
      <w:pPr>
        <w:spacing w:after="160" w:line="360" w:lineRule="auto"/>
        <w:jc w:val="both"/>
        <w:rPr>
          <w:sz w:val="28"/>
        </w:rPr>
      </w:pPr>
      <w:r>
        <w:rPr>
          <w:sz w:val="28"/>
        </w:rPr>
        <w:t>The study was conducted at Faryab State Hospital in Maimana, the provincial capital of Faryab Province, northern Afghanistan. Faryab State Hospital is the principal referral hospital for the entire province, serving a catchment population of approximately 1.3 million people distributed across 15 districts. The dermatology outpatient clinic operates five days per week and receives patients from Maimana city and from rural and semi-rural districts throughout the province, providing a reasonably diverse sample of the Faryab population. Data coordination and management were conducted within the Department of Epidemiology at the same institution.</w:t>
      </w:r>
    </w:p>
    <w:p w14:paraId="445CAC4F">
      <w:pPr>
        <w:pStyle w:val="3"/>
        <w:spacing w:line="360" w:lineRule="auto"/>
        <w:jc w:val="both"/>
        <w:rPr>
          <w:sz w:val="28"/>
        </w:rPr>
      </w:pPr>
      <w:bookmarkStart w:id="43" w:name="__RefHeading___91864"/>
      <w:bookmarkEnd w:id="43"/>
    </w:p>
    <w:p w14:paraId="4BDD6974">
      <w:pPr>
        <w:pStyle w:val="3"/>
        <w:spacing w:line="360" w:lineRule="auto"/>
        <w:jc w:val="both"/>
        <w:rPr>
          <w:sz w:val="28"/>
        </w:rPr>
      </w:pPr>
      <w:r>
        <w:rPr>
          <w:sz w:val="28"/>
        </w:rPr>
        <w:t>3.3 Study Period</w:t>
      </w:r>
    </w:p>
    <w:p w14:paraId="176A3C6F">
      <w:pPr>
        <w:spacing w:after="160" w:line="360" w:lineRule="auto"/>
        <w:jc w:val="both"/>
        <w:rPr>
          <w:sz w:val="28"/>
        </w:rPr>
      </w:pPr>
      <w:r>
        <w:rPr>
          <w:sz w:val="28"/>
        </w:rPr>
        <w:t>Patient recruitment and data collection commenced on 1 December 2024 and concluded on 28 December 2025, a total period of 13 months. Statistical analysis and manuscript preparation were conducted between January and March 2026.</w:t>
      </w:r>
    </w:p>
    <w:p w14:paraId="110AA81B">
      <w:pPr>
        <w:pStyle w:val="3"/>
        <w:spacing w:line="360" w:lineRule="auto"/>
        <w:jc w:val="both"/>
        <w:rPr>
          <w:sz w:val="28"/>
        </w:rPr>
      </w:pPr>
      <w:bookmarkStart w:id="44" w:name="__RefHeading___91865"/>
      <w:bookmarkEnd w:id="44"/>
      <w:r>
        <w:rPr>
          <w:sz w:val="28"/>
        </w:rPr>
        <w:t>3.4 Study Population</w:t>
      </w:r>
    </w:p>
    <w:p w14:paraId="6EF77832">
      <w:pPr>
        <w:spacing w:after="160" w:line="360" w:lineRule="auto"/>
        <w:jc w:val="both"/>
        <w:rPr>
          <w:sz w:val="28"/>
        </w:rPr>
      </w:pPr>
      <w:r>
        <w:rPr>
          <w:sz w:val="28"/>
        </w:rPr>
        <w:t>The source population comprised all adult patients (aged 18 years and above) attending the outpatient dermatology clinic of Faryab State Hospital during the study period. The target population was all adult residents of Faryab Province with a diagnosis of chronic plaque psoriasis (cases) or a minor, non-inflammatory skin condition (controls).</w:t>
      </w:r>
    </w:p>
    <w:p w14:paraId="2B98C6A8">
      <w:pPr>
        <w:pStyle w:val="3"/>
        <w:spacing w:line="360" w:lineRule="auto"/>
        <w:jc w:val="both"/>
        <w:rPr>
          <w:sz w:val="28"/>
        </w:rPr>
      </w:pPr>
      <w:bookmarkStart w:id="45" w:name="__RefHeading___91866"/>
      <w:bookmarkEnd w:id="45"/>
      <w:r>
        <w:rPr>
          <w:sz w:val="28"/>
        </w:rPr>
        <w:t>3.5 Sample Size Calculation</w:t>
      </w:r>
    </w:p>
    <w:p w14:paraId="0C26E5D6">
      <w:pPr>
        <w:spacing w:after="160" w:line="360" w:lineRule="auto"/>
        <w:jc w:val="both"/>
        <w:rPr>
          <w:sz w:val="28"/>
        </w:rPr>
      </w:pPr>
      <w:r>
        <w:rPr>
          <w:sz w:val="28"/>
        </w:rPr>
        <w:t>The minimum required sample size was calculated using the formula for case-control studies proposed by Kelsey et al. (1996), with the following assumptions:</w:t>
      </w:r>
    </w:p>
    <w:p w14:paraId="6D58C0E3">
      <w:pPr>
        <w:pStyle w:val="38"/>
        <w:numPr>
          <w:ilvl w:val="0"/>
          <w:numId w:val="3"/>
        </w:numPr>
        <w:spacing w:before="60" w:after="60" w:line="360" w:lineRule="auto"/>
        <w:ind w:firstLine="0"/>
        <w:jc w:val="both"/>
        <w:rPr>
          <w:sz w:val="28"/>
        </w:rPr>
      </w:pPr>
      <w:r>
        <w:rPr>
          <w:sz w:val="28"/>
        </w:rPr>
        <w:t>Two-sided significance level (α): 0.05 (95% confidence interval)</w:t>
      </w:r>
    </w:p>
    <w:p w14:paraId="39DFBF71">
      <w:pPr>
        <w:pStyle w:val="38"/>
        <w:numPr>
          <w:ilvl w:val="0"/>
          <w:numId w:val="3"/>
        </w:numPr>
        <w:spacing w:before="60" w:after="60" w:line="360" w:lineRule="auto"/>
        <w:ind w:firstLine="0"/>
        <w:jc w:val="both"/>
        <w:rPr>
          <w:sz w:val="28"/>
        </w:rPr>
      </w:pPr>
      <w:r>
        <w:rPr>
          <w:sz w:val="28"/>
        </w:rPr>
        <w:t>Statistical power (1−β): 90%</w:t>
      </w:r>
    </w:p>
    <w:p w14:paraId="0F6CCCF8">
      <w:pPr>
        <w:pStyle w:val="38"/>
        <w:numPr>
          <w:ilvl w:val="0"/>
          <w:numId w:val="3"/>
        </w:numPr>
        <w:spacing w:before="60" w:after="60" w:line="360" w:lineRule="auto"/>
        <w:ind w:firstLine="0"/>
        <w:jc w:val="both"/>
        <w:rPr>
          <w:sz w:val="28"/>
        </w:rPr>
      </w:pPr>
      <w:r>
        <w:rPr>
          <w:sz w:val="28"/>
        </w:rPr>
        <w:t>Anticipated odds ratio: 2.20 (based on the meta-analytic estimate of Armstrong et al. [2013] and regional studies from India and Iran)</w:t>
      </w:r>
    </w:p>
    <w:p w14:paraId="7E1C09F6">
      <w:pPr>
        <w:pStyle w:val="38"/>
        <w:numPr>
          <w:ilvl w:val="0"/>
          <w:numId w:val="3"/>
        </w:numPr>
        <w:spacing w:before="60" w:after="60" w:line="360" w:lineRule="auto"/>
        <w:ind w:firstLine="0"/>
        <w:jc w:val="both"/>
        <w:rPr>
          <w:sz w:val="28"/>
        </w:rPr>
      </w:pPr>
      <w:r>
        <w:rPr>
          <w:sz w:val="28"/>
        </w:rPr>
        <w:t>Estimated proportion of controls with MetS: 22% (based on the 2013 Kabul population study, adjusted for the age and sex distribution of clinic attendees)</w:t>
      </w:r>
    </w:p>
    <w:p w14:paraId="36F4058F">
      <w:pPr>
        <w:spacing w:after="160" w:line="360" w:lineRule="auto"/>
        <w:jc w:val="both"/>
        <w:rPr>
          <w:sz w:val="28"/>
        </w:rPr>
      </w:pPr>
      <w:r>
        <w:rPr>
          <w:sz w:val="28"/>
        </w:rPr>
        <w:t>Under these parameters, the formula yielded a minimum of 135 cases and 135 controls. To accommodate a 10% potential loss due to incomplete data or withdrawal, the target was set at 150 cases and 150 controls (total n = 300). This target was achieved exactly, with a 100% response rate among eligible participants who were approached.</w:t>
      </w:r>
    </w:p>
    <w:p w14:paraId="2F425929">
      <w:pPr>
        <w:pStyle w:val="3"/>
        <w:spacing w:line="360" w:lineRule="auto"/>
        <w:jc w:val="both"/>
        <w:rPr>
          <w:sz w:val="28"/>
        </w:rPr>
      </w:pPr>
      <w:bookmarkStart w:id="46" w:name="__RefHeading___91867"/>
      <w:bookmarkEnd w:id="46"/>
      <w:r>
        <w:rPr>
          <w:sz w:val="28"/>
        </w:rPr>
        <w:t>3.6 Sampling Technique</w:t>
      </w:r>
    </w:p>
    <w:p w14:paraId="56A0086F">
      <w:pPr>
        <w:spacing w:after="160" w:line="360" w:lineRule="auto"/>
        <w:jc w:val="both"/>
        <w:rPr>
          <w:sz w:val="28"/>
        </w:rPr>
      </w:pPr>
      <w:r>
        <w:rPr>
          <w:sz w:val="28"/>
        </w:rPr>
        <w:t>Consecutive sampling was employed. All eligible patients presenting to the dermatology clinic during the study period who met the inclusion criteria and provided informed consent were enrolled in the order of their attendance until the target sample size was reached. For each enrolled psoriasis case, the next eligible control presenting to the clinic was enrolled, matched approximately for age (within ±5 years) and exactly for sex.</w:t>
      </w:r>
    </w:p>
    <w:p w14:paraId="015086AB">
      <w:pPr>
        <w:spacing w:after="160" w:line="360" w:lineRule="auto"/>
        <w:jc w:val="both"/>
        <w:rPr>
          <w:sz w:val="28"/>
        </w:rPr>
      </w:pPr>
      <w:r>
        <w:drawing>
          <wp:inline distT="0" distB="0" distL="0" distR="0">
            <wp:extent cx="5978525" cy="69024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rcRect/>
                    <a:stretch>
                      <a:fillRect/>
                    </a:stretch>
                  </pic:blipFill>
                  <pic:spPr>
                    <a:xfrm>
                      <a:off x="0" y="0"/>
                      <a:ext cx="5987102" cy="6912154"/>
                    </a:xfrm>
                    <a:prstGeom prst="rect">
                      <a:avLst/>
                    </a:prstGeom>
                  </pic:spPr>
                </pic:pic>
              </a:graphicData>
            </a:graphic>
          </wp:inline>
        </w:drawing>
      </w:r>
    </w:p>
    <w:p w14:paraId="2CEE6924">
      <w:pPr>
        <w:spacing w:before="80" w:after="200"/>
        <w:jc w:val="center"/>
        <w:rPr>
          <w:iCs/>
        </w:rPr>
      </w:pPr>
      <w:r>
        <w:rPr>
          <w:iCs/>
          <w:sz w:val="22"/>
        </w:rPr>
        <w:t>Scheme 3.1: Study Design and Participant Flow — Faryab State Hospital, 2024–2025. Adult dermatology outpatients were screened consecutively; 150 psoriasis cases and 150 matched controls were enrolled (100% response rate). Both groups underwent standardised data collection including bilingual questionnaire, physical examination, PASI scoring (cases only), and blinded fasting laboratory investigations. MetS was diagnosed by harmonised NCEP ATP III criteria with Asian-specific waist cutoffs. Analysis was performed using IBM SPSS v26.</w:t>
      </w:r>
    </w:p>
    <w:p w14:paraId="363A5BD6">
      <w:pPr>
        <w:pStyle w:val="3"/>
        <w:spacing w:line="360" w:lineRule="auto"/>
        <w:jc w:val="both"/>
        <w:rPr>
          <w:sz w:val="28"/>
        </w:rPr>
      </w:pPr>
      <w:bookmarkStart w:id="47" w:name="__RefHeading___91868"/>
      <w:bookmarkEnd w:id="47"/>
      <w:r>
        <w:rPr>
          <w:sz w:val="28"/>
        </w:rPr>
        <w:t>3.7 Inclusion and Exclusion Criteria</w:t>
      </w:r>
    </w:p>
    <w:p w14:paraId="43190EA2">
      <w:pPr>
        <w:pStyle w:val="4"/>
        <w:spacing w:line="360" w:lineRule="auto"/>
        <w:jc w:val="both"/>
        <w:rPr>
          <w:i w:val="0"/>
          <w:iCs/>
          <w:sz w:val="28"/>
        </w:rPr>
      </w:pPr>
      <w:bookmarkStart w:id="48" w:name="__RefHeading___91869"/>
      <w:bookmarkEnd w:id="48"/>
      <w:r>
        <w:rPr>
          <w:i w:val="0"/>
          <w:iCs/>
          <w:sz w:val="28"/>
        </w:rPr>
        <w:t>3.7.1 Inclusion Criteria — Cases</w:t>
      </w:r>
    </w:p>
    <w:p w14:paraId="1F50713C">
      <w:pPr>
        <w:pStyle w:val="38"/>
        <w:numPr>
          <w:ilvl w:val="0"/>
          <w:numId w:val="4"/>
        </w:numPr>
        <w:spacing w:before="60" w:after="60" w:line="360" w:lineRule="auto"/>
        <w:ind w:firstLine="0"/>
        <w:jc w:val="both"/>
        <w:rPr>
          <w:sz w:val="28"/>
        </w:rPr>
      </w:pPr>
      <w:r>
        <w:rPr>
          <w:sz w:val="28"/>
        </w:rPr>
        <w:t>Age ≥ 18 years</w:t>
      </w:r>
    </w:p>
    <w:p w14:paraId="27B1B220">
      <w:pPr>
        <w:pStyle w:val="38"/>
        <w:numPr>
          <w:ilvl w:val="0"/>
          <w:numId w:val="4"/>
        </w:numPr>
        <w:spacing w:before="60" w:after="60" w:line="360" w:lineRule="auto"/>
        <w:ind w:firstLine="0"/>
        <w:jc w:val="both"/>
        <w:rPr>
          <w:sz w:val="28"/>
        </w:rPr>
      </w:pPr>
      <w:r>
        <w:rPr>
          <w:sz w:val="28"/>
        </w:rPr>
        <w:t>Confirmed clinical diagnosis of chronic plaque psoriasis by a medical officer</w:t>
      </w:r>
    </w:p>
    <w:p w14:paraId="2DCBF6CC">
      <w:pPr>
        <w:pStyle w:val="38"/>
        <w:numPr>
          <w:ilvl w:val="0"/>
          <w:numId w:val="4"/>
        </w:numPr>
        <w:spacing w:before="60" w:after="60" w:line="360" w:lineRule="auto"/>
        <w:ind w:firstLine="0"/>
        <w:jc w:val="both"/>
        <w:rPr>
          <w:sz w:val="28"/>
        </w:rPr>
      </w:pPr>
      <w:r>
        <w:rPr>
          <w:sz w:val="28"/>
        </w:rPr>
        <w:t>Ability and willingness to provide informed consent</w:t>
      </w:r>
    </w:p>
    <w:p w14:paraId="28E6DD69">
      <w:pPr>
        <w:pStyle w:val="4"/>
        <w:spacing w:line="360" w:lineRule="auto"/>
        <w:jc w:val="both"/>
        <w:rPr>
          <w:i w:val="0"/>
          <w:iCs/>
          <w:sz w:val="28"/>
        </w:rPr>
      </w:pPr>
      <w:bookmarkStart w:id="49" w:name="__RefHeading___91870"/>
      <w:bookmarkEnd w:id="49"/>
      <w:r>
        <w:rPr>
          <w:i w:val="0"/>
          <w:iCs/>
          <w:sz w:val="28"/>
        </w:rPr>
        <w:t>3.7.2 Inclusion Criteria — Controls</w:t>
      </w:r>
    </w:p>
    <w:p w14:paraId="11C231B9">
      <w:pPr>
        <w:pStyle w:val="38"/>
        <w:numPr>
          <w:ilvl w:val="0"/>
          <w:numId w:val="5"/>
        </w:numPr>
        <w:spacing w:before="60" w:after="60" w:line="360" w:lineRule="auto"/>
        <w:ind w:firstLine="0"/>
        <w:jc w:val="both"/>
        <w:rPr>
          <w:sz w:val="28"/>
        </w:rPr>
      </w:pPr>
      <w:r>
        <w:rPr>
          <w:sz w:val="28"/>
        </w:rPr>
        <w:t>Age ≥ 18 years</w:t>
      </w:r>
    </w:p>
    <w:p w14:paraId="335B25B7">
      <w:pPr>
        <w:pStyle w:val="38"/>
        <w:numPr>
          <w:ilvl w:val="0"/>
          <w:numId w:val="5"/>
        </w:numPr>
        <w:spacing w:before="60" w:after="60" w:line="360" w:lineRule="auto"/>
        <w:ind w:firstLine="0"/>
        <w:jc w:val="both"/>
        <w:rPr>
          <w:sz w:val="28"/>
        </w:rPr>
      </w:pPr>
      <w:r>
        <w:rPr>
          <w:sz w:val="28"/>
        </w:rPr>
        <w:t>Confirmed diagnosis of a minor, non-inflammatory skin condition: acquired naevus, seborrhoeic keratosis, androgenetic alopecia, vitiligo (non-inflammatory, purely depigmenting), benign skin tumour (dermatofibroma), verruca vulgaris, or epidermal cyst</w:t>
      </w:r>
    </w:p>
    <w:p w14:paraId="43F65B71">
      <w:pPr>
        <w:pStyle w:val="38"/>
        <w:numPr>
          <w:ilvl w:val="0"/>
          <w:numId w:val="5"/>
        </w:numPr>
        <w:spacing w:before="60" w:after="60" w:line="360" w:lineRule="auto"/>
        <w:ind w:firstLine="0"/>
        <w:jc w:val="both"/>
        <w:rPr>
          <w:sz w:val="28"/>
        </w:rPr>
      </w:pPr>
      <w:r>
        <w:rPr>
          <w:sz w:val="28"/>
        </w:rPr>
        <w:t>No personal history of psoriasis or other systemic inflammatory conditions</w:t>
      </w:r>
    </w:p>
    <w:p w14:paraId="42866EC3">
      <w:pPr>
        <w:pStyle w:val="38"/>
        <w:numPr>
          <w:ilvl w:val="0"/>
          <w:numId w:val="5"/>
        </w:numPr>
        <w:spacing w:before="60" w:after="60" w:line="360" w:lineRule="auto"/>
        <w:ind w:firstLine="0"/>
        <w:jc w:val="both"/>
        <w:rPr>
          <w:sz w:val="28"/>
        </w:rPr>
      </w:pPr>
      <w:r>
        <w:rPr>
          <w:sz w:val="28"/>
        </w:rPr>
        <w:t>Ability and willingness to provide informed consent</w:t>
      </w:r>
    </w:p>
    <w:p w14:paraId="1235AA91">
      <w:pPr>
        <w:pStyle w:val="4"/>
        <w:spacing w:line="360" w:lineRule="auto"/>
        <w:jc w:val="both"/>
        <w:rPr>
          <w:i w:val="0"/>
          <w:iCs/>
          <w:sz w:val="28"/>
        </w:rPr>
      </w:pPr>
      <w:bookmarkStart w:id="50" w:name="__RefHeading___91871"/>
      <w:bookmarkEnd w:id="50"/>
      <w:r>
        <w:rPr>
          <w:i w:val="0"/>
          <w:iCs/>
          <w:sz w:val="28"/>
        </w:rPr>
        <w:t>3.7.3 Exclusion Criteria — Both Groups</w:t>
      </w:r>
    </w:p>
    <w:p w14:paraId="6F9D005F">
      <w:pPr>
        <w:pStyle w:val="38"/>
        <w:numPr>
          <w:ilvl w:val="0"/>
          <w:numId w:val="3"/>
        </w:numPr>
        <w:spacing w:before="60" w:after="60" w:line="360" w:lineRule="auto"/>
        <w:ind w:firstLine="0"/>
        <w:jc w:val="both"/>
        <w:rPr>
          <w:sz w:val="28"/>
        </w:rPr>
      </w:pPr>
      <w:r>
        <w:rPr>
          <w:sz w:val="28"/>
        </w:rPr>
        <w:t>Pregnancy or lactation (metabolic parameters are dramatically altered during pregnancy)</w:t>
      </w:r>
    </w:p>
    <w:p w14:paraId="7850842E">
      <w:pPr>
        <w:pStyle w:val="38"/>
        <w:numPr>
          <w:ilvl w:val="0"/>
          <w:numId w:val="3"/>
        </w:numPr>
        <w:spacing w:before="60" w:after="60" w:line="360" w:lineRule="auto"/>
        <w:ind w:firstLine="0"/>
        <w:jc w:val="both"/>
        <w:rPr>
          <w:sz w:val="28"/>
        </w:rPr>
      </w:pPr>
      <w:r>
        <w:rPr>
          <w:sz w:val="28"/>
        </w:rPr>
        <w:t>Active systemic infection (fever &gt;38°C, documented bacterial, viral, or fungal infection)</w:t>
      </w:r>
    </w:p>
    <w:p w14:paraId="2D19062B">
      <w:pPr>
        <w:pStyle w:val="38"/>
        <w:numPr>
          <w:ilvl w:val="0"/>
          <w:numId w:val="3"/>
        </w:numPr>
        <w:spacing w:before="60" w:after="60" w:line="360" w:lineRule="auto"/>
        <w:ind w:firstLine="0"/>
        <w:jc w:val="both"/>
        <w:rPr>
          <w:sz w:val="28"/>
        </w:rPr>
      </w:pPr>
      <w:r>
        <w:rPr>
          <w:sz w:val="28"/>
        </w:rPr>
        <w:t>Known diagnosis of another chronic systemic inflammatory condition (rheumatoid arthritis, systemic lupus erythematosus, inflammatory bowel disease, ankylosing spondylitis)</w:t>
      </w:r>
    </w:p>
    <w:p w14:paraId="36457AD3">
      <w:pPr>
        <w:pStyle w:val="38"/>
        <w:numPr>
          <w:ilvl w:val="0"/>
          <w:numId w:val="3"/>
        </w:numPr>
        <w:spacing w:before="60" w:after="60" w:line="360" w:lineRule="auto"/>
        <w:ind w:firstLine="0"/>
        <w:jc w:val="both"/>
        <w:rPr>
          <w:sz w:val="28"/>
        </w:rPr>
      </w:pPr>
      <w:r>
        <w:rPr>
          <w:sz w:val="28"/>
        </w:rPr>
        <w:t>Use of systemic anti-psoriatic medications (biologics, systemic immunosuppressants, systemic retinoids, or systemic corticosteroids) within the preceding 6 weeks</w:t>
      </w:r>
    </w:p>
    <w:p w14:paraId="7452752F">
      <w:pPr>
        <w:pStyle w:val="38"/>
        <w:numPr>
          <w:ilvl w:val="0"/>
          <w:numId w:val="3"/>
        </w:numPr>
        <w:spacing w:before="60" w:after="60" w:line="360" w:lineRule="auto"/>
        <w:ind w:firstLine="0"/>
        <w:jc w:val="both"/>
        <w:rPr>
          <w:sz w:val="28"/>
        </w:rPr>
      </w:pPr>
      <w:r>
        <w:rPr>
          <w:sz w:val="28"/>
        </w:rPr>
        <w:t>Use of antihypertensive, antidiabetic, or lipid-lowering medication initiated within the preceding 4 weeks (for patients on stable, long-standing therapy, the medication use was recorded and the criterion was considered met)</w:t>
      </w:r>
    </w:p>
    <w:p w14:paraId="5298E89E">
      <w:pPr>
        <w:pStyle w:val="38"/>
        <w:numPr>
          <w:ilvl w:val="0"/>
          <w:numId w:val="3"/>
        </w:numPr>
        <w:spacing w:before="60" w:after="60" w:line="360" w:lineRule="auto"/>
        <w:ind w:firstLine="0"/>
        <w:jc w:val="both"/>
        <w:rPr>
          <w:sz w:val="28"/>
        </w:rPr>
      </w:pPr>
      <w:r>
        <w:rPr>
          <w:sz w:val="28"/>
        </w:rPr>
        <w:t>Refusal to provide written or witnessed verbal informed consent</w:t>
      </w:r>
    </w:p>
    <w:p w14:paraId="78BC6D0F">
      <w:pPr>
        <w:pStyle w:val="3"/>
        <w:spacing w:line="360" w:lineRule="auto"/>
        <w:jc w:val="both"/>
        <w:rPr>
          <w:sz w:val="28"/>
        </w:rPr>
      </w:pPr>
      <w:bookmarkStart w:id="51" w:name="__RefHeading___91872"/>
      <w:bookmarkEnd w:id="51"/>
      <w:r>
        <w:rPr>
          <w:sz w:val="28"/>
        </w:rPr>
        <w:t>3.8 Data Collection</w:t>
      </w:r>
    </w:p>
    <w:p w14:paraId="4F73D220">
      <w:pPr>
        <w:pStyle w:val="4"/>
        <w:spacing w:line="360" w:lineRule="auto"/>
        <w:jc w:val="both"/>
        <w:rPr>
          <w:i w:val="0"/>
          <w:iCs/>
          <w:sz w:val="28"/>
        </w:rPr>
      </w:pPr>
      <w:bookmarkStart w:id="52" w:name="__RefHeading___91873"/>
      <w:bookmarkEnd w:id="52"/>
      <w:r>
        <w:rPr>
          <w:i w:val="0"/>
          <w:iCs/>
          <w:sz w:val="28"/>
        </w:rPr>
        <w:t>3.8.1 Structured Questionnaire</w:t>
      </w:r>
    </w:p>
    <w:p w14:paraId="5FC67A33">
      <w:pPr>
        <w:spacing w:after="160" w:line="360" w:lineRule="auto"/>
        <w:jc w:val="both"/>
        <w:rPr>
          <w:sz w:val="28"/>
        </w:rPr>
      </w:pPr>
      <w:r>
        <w:rPr>
          <w:sz w:val="28"/>
        </w:rPr>
        <w:t>A structured, interviewer-administered questionnaire was developed in English and translated into Dari and Pashto (the two principal languages of Faryab Province) by bilingual medical staff. Back-translation into English by an independent translator was performed to verify semantic equivalence. The questionnaire was pilot-tested on 20 participants (not included in the main study) and minor revisions were made based on their feedback.</w:t>
      </w:r>
    </w:p>
    <w:p w14:paraId="36A60CF7">
      <w:pPr>
        <w:spacing w:after="160" w:line="360" w:lineRule="auto"/>
        <w:jc w:val="both"/>
        <w:rPr>
          <w:sz w:val="28"/>
        </w:rPr>
      </w:pPr>
      <w:r>
        <w:rPr>
          <w:sz w:val="28"/>
        </w:rPr>
        <w:t>The questionnaire covered: (a) socio-demographic variables (age, sex, ethnicity, education, area of residence); (b) lifestyle variables (smoking status, physical activity frequency); (c) psychosocial variables (life satisfaction, assessed using a single-item three-point scale: satisfied / neither satisfied nor dissatisfied / dissatisfied); and (d) family history variables (first-degree relatives with hypertension, diabetes mellitus, or cardiovascular disease).</w:t>
      </w:r>
    </w:p>
    <w:p w14:paraId="74293A32">
      <w:pPr>
        <w:pStyle w:val="4"/>
        <w:spacing w:line="360" w:lineRule="auto"/>
        <w:jc w:val="both"/>
        <w:rPr>
          <w:sz w:val="28"/>
        </w:rPr>
      </w:pPr>
      <w:bookmarkStart w:id="53" w:name="__RefHeading___91874"/>
      <w:bookmarkEnd w:id="53"/>
    </w:p>
    <w:p w14:paraId="32A060A5">
      <w:pPr>
        <w:pStyle w:val="4"/>
        <w:spacing w:line="360" w:lineRule="auto"/>
        <w:jc w:val="both"/>
        <w:rPr>
          <w:sz w:val="28"/>
        </w:rPr>
      </w:pPr>
    </w:p>
    <w:p w14:paraId="3DD7A024">
      <w:pPr>
        <w:pStyle w:val="4"/>
        <w:spacing w:line="360" w:lineRule="auto"/>
        <w:jc w:val="both"/>
        <w:rPr>
          <w:i w:val="0"/>
          <w:iCs/>
          <w:sz w:val="28"/>
        </w:rPr>
      </w:pPr>
      <w:r>
        <w:rPr>
          <w:i w:val="0"/>
          <w:iCs/>
          <w:sz w:val="28"/>
        </w:rPr>
        <w:t>3.8.2 Physical Examination</w:t>
      </w:r>
    </w:p>
    <w:p w14:paraId="4722F21B">
      <w:pPr>
        <w:spacing w:after="160" w:line="360" w:lineRule="auto"/>
        <w:jc w:val="both"/>
        <w:rPr>
          <w:sz w:val="28"/>
        </w:rPr>
      </w:pPr>
      <w:r>
        <w:rPr>
          <w:sz w:val="28"/>
        </w:rPr>
        <w:t>All physical examinations were conducted by two trained medical officers in a private examination room under standardised conditions. Weight was measured on a calibrated digital scale (to the nearest 0.1 kg) with participants wearing light clothing and no footwear. Height was measured using a wall-mounted stadiometer (to the nearest 0.5 cm) with participants standing erect with heels together and eyes directed forward. BMI was calculated as weight (kg) divided by height squared (m²); WHO Asia-Pacific cutoffs were applied (normal: BMI &lt; 23.0 kg/m²; overweight: 23.0–27.4 kg/m²; obese: ≥27.5 kg/m²).</w:t>
      </w:r>
    </w:p>
    <w:p w14:paraId="0125023E">
      <w:pPr>
        <w:spacing w:after="160" w:line="360" w:lineRule="auto"/>
        <w:jc w:val="both"/>
        <w:rPr>
          <w:sz w:val="28"/>
        </w:rPr>
      </w:pPr>
      <w:r>
        <w:rPr>
          <w:sz w:val="28"/>
        </w:rPr>
        <w:t>Waist circumference was measured using a non-stretchable measuring tape at the midpoint between the inferior rib margin and the iliac crest, at the end of a normal expiration, with the participant standing upright. Two measurements were taken and averaged; if the two measurements differed by more than 1 cm, a third measurement was taken and the median value used. Blood pressure was measured after a minimum of 10 minutes of seated rest, using a calibrated mercury sphygmomanometer; two readings were taken 5 minutes apart and averaged.</w:t>
      </w:r>
    </w:p>
    <w:p w14:paraId="1DD895EA">
      <w:pPr>
        <w:pStyle w:val="4"/>
        <w:spacing w:line="360" w:lineRule="auto"/>
        <w:jc w:val="both"/>
        <w:rPr>
          <w:i w:val="0"/>
          <w:iCs/>
          <w:sz w:val="28"/>
        </w:rPr>
      </w:pPr>
      <w:bookmarkStart w:id="54" w:name="__RefHeading___91875"/>
      <w:bookmarkEnd w:id="54"/>
      <w:r>
        <w:rPr>
          <w:i w:val="0"/>
          <w:iCs/>
          <w:sz w:val="28"/>
        </w:rPr>
        <w:t>3.8.3 PASI Assessment</w:t>
      </w:r>
    </w:p>
    <w:p w14:paraId="0DCB703E">
      <w:pPr>
        <w:spacing w:after="160" w:line="360" w:lineRule="auto"/>
        <w:jc w:val="both"/>
        <w:rPr>
          <w:sz w:val="28"/>
        </w:rPr>
      </w:pPr>
      <w:r>
        <w:rPr>
          <w:sz w:val="28"/>
        </w:rPr>
        <w:t>The PASI score was calculated for all psoriasis cases by the attending medical officers. The PASI divides the body into four regions — head and neck (10%), upper extremities (20%), trunk (30%), and lower extremities (40%) — and within each region scores erythema, induration, and desquamation on a 0–4 ordinal scale, combined with the estimated percentage area of involvement. The composite formula yields a final PASI score ranging from 0 to 72. Inter-rater reliability was assessed prior to study commencement by having 10 patients independently scored by two medical officers; intraclass correlation coefficient was 0.93, indicating excellent reliability. Psoriasis severity was classified as mild (PASI &lt; 10) or moderate-to-severe (PASI ≥ 10).</w:t>
      </w:r>
    </w:p>
    <w:p w14:paraId="1DDDBFFE">
      <w:pPr>
        <w:pStyle w:val="4"/>
        <w:spacing w:line="360" w:lineRule="auto"/>
        <w:jc w:val="both"/>
        <w:rPr>
          <w:i w:val="0"/>
          <w:iCs/>
          <w:sz w:val="28"/>
        </w:rPr>
      </w:pPr>
      <w:bookmarkStart w:id="55" w:name="__RefHeading___91876"/>
      <w:bookmarkEnd w:id="55"/>
      <w:r>
        <w:rPr>
          <w:i w:val="0"/>
          <w:iCs/>
          <w:sz w:val="28"/>
        </w:rPr>
        <w:t>3.8.4 Laboratory Investigations</w:t>
      </w:r>
    </w:p>
    <w:p w14:paraId="7FE44EA7">
      <w:pPr>
        <w:spacing w:after="160" w:line="360" w:lineRule="auto"/>
        <w:jc w:val="both"/>
        <w:rPr>
          <w:sz w:val="28"/>
        </w:rPr>
      </w:pPr>
      <w:r>
        <w:rPr>
          <w:sz w:val="28"/>
        </w:rPr>
        <w:t>All participants were instructed to fast for 10–12 hours (water only) prior to blood sampling. Five millilitres of venous blood were collected by a trained phlebotomist from the antecubital vein under aseptic conditions. Samples were collected in gel separator tubes, allowed to clot at room temperature for 30 minutes, and centrifuged at 3000 rpm for 10 minutes. Serum was analysed at the Faryab State Hospital laboratory for fasting plasma glucose (glucose oxidase method), total cholesterol, triglycerides (enzymatic colorimetric method), and HDL-C (precipitation method). LDL-C was calculated using the Friedewald formula (LDL-C = total cholesterol − HDL-C − [triglycerides ÷ 5]) for samples with triglycerides &lt;400 mg/dL.</w:t>
      </w:r>
    </w:p>
    <w:p w14:paraId="2A456DC1">
      <w:pPr>
        <w:spacing w:after="160" w:line="360" w:lineRule="auto"/>
        <w:jc w:val="both"/>
        <w:rPr>
          <w:sz w:val="28"/>
        </w:rPr>
      </w:pPr>
      <w:r>
        <w:rPr>
          <w:sz w:val="28"/>
        </w:rPr>
        <w:t>To prevent observer bias, laboratory analysts were blinded to participant group allocation (case or control). All sample tubes were labelled with study ID numbers only.</w:t>
      </w:r>
    </w:p>
    <w:p w14:paraId="2FC83942">
      <w:pPr>
        <w:pStyle w:val="3"/>
        <w:spacing w:line="360" w:lineRule="auto"/>
        <w:jc w:val="both"/>
        <w:rPr>
          <w:sz w:val="28"/>
        </w:rPr>
      </w:pPr>
      <w:bookmarkStart w:id="56" w:name="__RefHeading___91877"/>
      <w:bookmarkEnd w:id="56"/>
      <w:r>
        <w:rPr>
          <w:sz w:val="28"/>
        </w:rPr>
        <w:t>3.9 Metabolic Syndrome Diagnostic Criteria</w:t>
      </w:r>
    </w:p>
    <w:p w14:paraId="55E8E9EC">
      <w:pPr>
        <w:spacing w:after="160" w:line="360" w:lineRule="auto"/>
        <w:jc w:val="both"/>
        <w:rPr>
          <w:sz w:val="28"/>
        </w:rPr>
      </w:pPr>
      <w:r>
        <w:rPr>
          <w:sz w:val="28"/>
        </w:rPr>
        <w:t>Metabolic syndrome was diagnosed according to the harmonised 2009 NCEP ATP III criteria with Asian-specific waist circumference cutoffs, requiring the presence of ≥3 of the following 5 abnormalities:</w:t>
      </w:r>
    </w:p>
    <w:p w14:paraId="43871A3E">
      <w:pPr>
        <w:spacing w:after="160" w:line="360" w:lineRule="auto"/>
        <w:jc w:val="both"/>
        <w:rPr>
          <w:sz w:val="28"/>
        </w:rPr>
      </w:pPr>
    </w:p>
    <w:p w14:paraId="7457B0CE">
      <w:pPr>
        <w:spacing w:after="160" w:line="360" w:lineRule="auto"/>
        <w:jc w:val="both"/>
        <w:rPr>
          <w:sz w:val="28"/>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0"/>
        <w:gridCol w:w="4500"/>
      </w:tblGrid>
      <w:tr w14:paraId="35CA8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45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0F1081CC">
            <w:pPr>
              <w:spacing w:line="360" w:lineRule="auto"/>
              <w:jc w:val="both"/>
              <w:rPr>
                <w:sz w:val="28"/>
              </w:rPr>
            </w:pPr>
            <w:r>
              <w:rPr>
                <w:b/>
                <w:sz w:val="28"/>
              </w:rPr>
              <w:t>Metabolic Syndrome Component</w:t>
            </w:r>
          </w:p>
        </w:tc>
        <w:tc>
          <w:tcPr>
            <w:tcW w:w="45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3AC14B90">
            <w:pPr>
              <w:spacing w:line="360" w:lineRule="auto"/>
              <w:jc w:val="both"/>
              <w:rPr>
                <w:sz w:val="28"/>
              </w:rPr>
            </w:pPr>
            <w:r>
              <w:rPr>
                <w:b/>
                <w:sz w:val="28"/>
              </w:rPr>
              <w:t>Diagnostic Threshold</w:t>
            </w:r>
          </w:p>
        </w:tc>
      </w:tr>
      <w:tr w14:paraId="23C70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8F7EFB1">
            <w:pPr>
              <w:spacing w:line="360" w:lineRule="auto"/>
              <w:jc w:val="both"/>
              <w:rPr>
                <w:sz w:val="28"/>
              </w:rPr>
            </w:pPr>
            <w:r>
              <w:rPr>
                <w:sz w:val="28"/>
              </w:rPr>
              <w:t>Central obesity (waist circumference)</w:t>
            </w:r>
          </w:p>
        </w:tc>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D44B195">
            <w:pPr>
              <w:spacing w:line="360" w:lineRule="auto"/>
              <w:jc w:val="both"/>
              <w:rPr>
                <w:sz w:val="28"/>
              </w:rPr>
            </w:pPr>
            <w:r>
              <w:rPr>
                <w:sz w:val="28"/>
              </w:rPr>
              <w:t>≥90 cm (men); ≥80 cm (women)</w:t>
            </w:r>
          </w:p>
        </w:tc>
      </w:tr>
      <w:tr w14:paraId="21551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0D5A222">
            <w:pPr>
              <w:spacing w:line="360" w:lineRule="auto"/>
              <w:jc w:val="both"/>
              <w:rPr>
                <w:sz w:val="28"/>
              </w:rPr>
            </w:pPr>
            <w:r>
              <w:rPr>
                <w:sz w:val="28"/>
              </w:rPr>
              <w:t>Elevated triglycerides</w:t>
            </w:r>
          </w:p>
        </w:tc>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6B10288">
            <w:pPr>
              <w:spacing w:line="360" w:lineRule="auto"/>
              <w:jc w:val="both"/>
              <w:rPr>
                <w:sz w:val="28"/>
              </w:rPr>
            </w:pPr>
            <w:r>
              <w:rPr>
                <w:sz w:val="28"/>
              </w:rPr>
              <w:t>≥150 mg/dL, OR on triglyceride-lowering medication</w:t>
            </w:r>
          </w:p>
        </w:tc>
      </w:tr>
      <w:tr w14:paraId="0D231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FBA41D8">
            <w:pPr>
              <w:spacing w:line="360" w:lineRule="auto"/>
              <w:jc w:val="both"/>
              <w:rPr>
                <w:sz w:val="28"/>
              </w:rPr>
            </w:pPr>
            <w:r>
              <w:rPr>
                <w:sz w:val="28"/>
              </w:rPr>
              <w:t>Reduced HDL cholesterol</w:t>
            </w:r>
          </w:p>
        </w:tc>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B8919FE">
            <w:pPr>
              <w:spacing w:line="360" w:lineRule="auto"/>
              <w:jc w:val="both"/>
              <w:rPr>
                <w:sz w:val="28"/>
              </w:rPr>
            </w:pPr>
            <w:r>
              <w:rPr>
                <w:sz w:val="28"/>
              </w:rPr>
              <w:t>&lt;40 mg/dL (men); &lt;50 mg/dL (women), OR on HDL-raising therapy</w:t>
            </w:r>
          </w:p>
        </w:tc>
      </w:tr>
      <w:tr w14:paraId="54D6A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215C340">
            <w:pPr>
              <w:spacing w:line="360" w:lineRule="auto"/>
              <w:jc w:val="both"/>
              <w:rPr>
                <w:sz w:val="28"/>
              </w:rPr>
            </w:pPr>
            <w:r>
              <w:rPr>
                <w:sz w:val="28"/>
              </w:rPr>
              <w:t>Elevated blood pressure</w:t>
            </w:r>
          </w:p>
        </w:tc>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F87891A">
            <w:pPr>
              <w:spacing w:line="360" w:lineRule="auto"/>
              <w:jc w:val="both"/>
              <w:rPr>
                <w:sz w:val="28"/>
              </w:rPr>
            </w:pPr>
            <w:r>
              <w:rPr>
                <w:sz w:val="28"/>
              </w:rPr>
              <w:t>≥130/85 mmHg, OR on antihypertensive medication</w:t>
            </w:r>
          </w:p>
        </w:tc>
      </w:tr>
      <w:tr w14:paraId="5D741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8BD6CB">
            <w:pPr>
              <w:spacing w:line="360" w:lineRule="auto"/>
              <w:jc w:val="both"/>
              <w:rPr>
                <w:sz w:val="28"/>
              </w:rPr>
            </w:pPr>
            <w:r>
              <w:rPr>
                <w:sz w:val="28"/>
              </w:rPr>
              <w:t>Elevated fasting plasma glucose</w:t>
            </w:r>
          </w:p>
        </w:tc>
        <w:tc>
          <w:tcPr>
            <w:tcW w:w="45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48FCF26">
            <w:pPr>
              <w:spacing w:line="360" w:lineRule="auto"/>
              <w:jc w:val="both"/>
              <w:rPr>
                <w:sz w:val="28"/>
              </w:rPr>
            </w:pPr>
            <w:r>
              <w:rPr>
                <w:sz w:val="28"/>
              </w:rPr>
              <w:t>≥100 mg/dL, OR on glucose-lowering medication</w:t>
            </w:r>
          </w:p>
        </w:tc>
      </w:tr>
    </w:tbl>
    <w:p w14:paraId="55A7CC9C">
      <w:pPr>
        <w:spacing w:before="80" w:after="80" w:line="360" w:lineRule="auto"/>
        <w:jc w:val="both"/>
        <w:rPr>
          <w:iCs/>
          <w:sz w:val="28"/>
        </w:rPr>
      </w:pPr>
      <w:r>
        <w:rPr>
          <w:iCs/>
          <w:sz w:val="28"/>
        </w:rPr>
        <w:t>Table 3.1: Metabolic Syndrome Diagnostic Criteria (Harmonised NCEP ATP III with Asian-Specific Cutoffs)</w:t>
      </w:r>
    </w:p>
    <w:p w14:paraId="2C199124">
      <w:pPr>
        <w:spacing w:before="80" w:after="80" w:line="360" w:lineRule="auto"/>
        <w:jc w:val="both"/>
        <w:rPr>
          <w:sz w:val="28"/>
        </w:rPr>
      </w:pPr>
      <w:r>
        <w:rPr>
          <w:b/>
          <w:sz w:val="36"/>
        </w:rPr>
        <w:t>__________________________________________________</w:t>
      </w:r>
    </w:p>
    <w:p w14:paraId="2B3E34B5">
      <w:pPr>
        <w:spacing w:after="160" w:line="360" w:lineRule="auto"/>
        <w:jc w:val="both"/>
        <w:rPr>
          <w:sz w:val="28"/>
        </w:rPr>
      </w:pPr>
      <w:r>
        <w:rPr>
          <w:sz w:val="28"/>
        </w:rPr>
        <w:t>For participants already on antihypertensive, glucose-lowering, or lipid-modifying medications, the respective criterion was considered met regardless of the measured laboratory value on the day of examination.</w:t>
      </w:r>
    </w:p>
    <w:p w14:paraId="35A8F5AF">
      <w:pPr>
        <w:pStyle w:val="3"/>
        <w:spacing w:line="360" w:lineRule="auto"/>
        <w:jc w:val="both"/>
        <w:rPr>
          <w:sz w:val="28"/>
        </w:rPr>
      </w:pPr>
      <w:bookmarkStart w:id="57" w:name="__RefHeading___91878"/>
      <w:bookmarkEnd w:id="57"/>
      <w:r>
        <w:rPr>
          <w:sz w:val="28"/>
        </w:rPr>
        <w:t>3.10 Data Quality Assurance</w:t>
      </w:r>
    </w:p>
    <w:p w14:paraId="57A45BCD">
      <w:pPr>
        <w:spacing w:after="160" w:line="360" w:lineRule="auto"/>
        <w:jc w:val="both"/>
        <w:rPr>
          <w:sz w:val="28"/>
        </w:rPr>
      </w:pPr>
      <w:r>
        <w:rPr>
          <w:sz w:val="28"/>
        </w:rPr>
        <w:t>Multiple strategies were employed to ensure data quality. All data collectors completed a structured two-day training workshop covering interview technique, PASI scoring, anthropometric measurement standardisation, and blood sample handling. The questionnaire underwent pilot testing and revision before final use. Anthropometric equipment was calibrated weekly against certified reference standards. Laboratory analysers underwent daily quality control procedures per manufacturer specifications. Double data entry was performed by two independent data entry clerks; discrepancies were resolved by reference to the original paper data collection forms. A senior researcher reviewed 10% of randomly selected questionnaires and physical examination forms for completeness and plausibility.</w:t>
      </w:r>
    </w:p>
    <w:p w14:paraId="38BB818D">
      <w:pPr>
        <w:pStyle w:val="3"/>
        <w:spacing w:line="360" w:lineRule="auto"/>
        <w:jc w:val="both"/>
        <w:rPr>
          <w:sz w:val="28"/>
        </w:rPr>
      </w:pPr>
      <w:bookmarkStart w:id="58" w:name="__RefHeading___91879"/>
      <w:bookmarkEnd w:id="58"/>
      <w:r>
        <w:rPr>
          <w:sz w:val="28"/>
        </w:rPr>
        <w:t>3.11 Statistical Analysis</w:t>
      </w:r>
    </w:p>
    <w:p w14:paraId="695BA4CC">
      <w:pPr>
        <w:spacing w:after="160" w:line="360" w:lineRule="auto"/>
        <w:jc w:val="both"/>
        <w:rPr>
          <w:sz w:val="28"/>
        </w:rPr>
      </w:pPr>
      <w:r>
        <w:rPr>
          <w:sz w:val="28"/>
        </w:rPr>
        <w:t>Data were analysed using IBM SPSS Statistics version 26 (IBM Corp., Armonk, NY). All statistical tests were two-tailed, with a significance threshold of p &lt; 0.05.</w:t>
      </w:r>
    </w:p>
    <w:p w14:paraId="64EB9328">
      <w:pPr>
        <w:spacing w:after="160" w:line="360" w:lineRule="auto"/>
        <w:jc w:val="both"/>
        <w:rPr>
          <w:sz w:val="28"/>
        </w:rPr>
      </w:pPr>
      <w:r>
        <w:rPr>
          <w:sz w:val="28"/>
        </w:rPr>
        <w:t>Descriptive statistics: Categorical variables are reported as frequencies and percentages; continuous variables as means ± standard deviations (SD) for normally distributed variables, or medians with interquartile ranges for non-normally distributed variables. Normality was assessed by the Shapiro-Wilk test.</w:t>
      </w:r>
    </w:p>
    <w:p w14:paraId="18CB4F4B">
      <w:pPr>
        <w:spacing w:after="160" w:line="360" w:lineRule="auto"/>
        <w:jc w:val="both"/>
        <w:rPr>
          <w:sz w:val="28"/>
        </w:rPr>
      </w:pPr>
      <w:r>
        <w:rPr>
          <w:sz w:val="28"/>
        </w:rPr>
        <w:t>Bivariate analysis: Group comparisons for categorical variables used the Pearson chi-square test (Fisher's exact test for cells with expected count &lt; 5). Comparisons for continuous variables used the independent samples t-test (normally distributed) or Mann-Whitney U test (non-normally distributed).</w:t>
      </w:r>
    </w:p>
    <w:p w14:paraId="0E7E2967">
      <w:pPr>
        <w:spacing w:after="160" w:line="360" w:lineRule="auto"/>
        <w:jc w:val="both"/>
        <w:rPr>
          <w:sz w:val="28"/>
        </w:rPr>
      </w:pPr>
      <w:r>
        <w:rPr>
          <w:sz w:val="28"/>
        </w:rPr>
        <w:t>Logistic regression: Crude odds ratios (cOR) were calculated with 95% confidence intervals for each MetS component and for overall MetS. Multivariate logistic regression (enter method) was performed to calculate adjusted odds ratios (AOR), including the following covariates selected a priori on biological and epidemiological grounds: group (case/control), age (continuous), sex (male/female), and physical activity (regular/not regular). The model calibration was assessed using the Hosmer-Lemeshow goodness-of-fit test.</w:t>
      </w:r>
    </w:p>
    <w:p w14:paraId="267F568E">
      <w:pPr>
        <w:spacing w:after="160" w:line="360" w:lineRule="auto"/>
        <w:jc w:val="both"/>
        <w:rPr>
          <w:sz w:val="28"/>
        </w:rPr>
      </w:pPr>
      <w:r>
        <w:rPr>
          <w:sz w:val="28"/>
        </w:rPr>
        <w:t>Dose-response analysis: Within the psoriasis group, the PASI score was compared between patients with and without MetS using the Mann-Whitney U test. Odds ratios for MetS were calculated separately for mild (PASI &lt; 10) and moderate-to-severe (PASI ≥ 10) psoriasis subgroups versus controls.</w:t>
      </w:r>
    </w:p>
    <w:p w14:paraId="0A6AB938">
      <w:pPr>
        <w:pStyle w:val="3"/>
        <w:spacing w:line="360" w:lineRule="auto"/>
        <w:jc w:val="both"/>
        <w:rPr>
          <w:sz w:val="28"/>
        </w:rPr>
      </w:pPr>
      <w:bookmarkStart w:id="59" w:name="__RefHeading___91880"/>
      <w:bookmarkEnd w:id="59"/>
      <w:r>
        <w:rPr>
          <w:sz w:val="28"/>
        </w:rPr>
        <w:t>3.12 Ethical Considerations</w:t>
      </w:r>
    </w:p>
    <w:p w14:paraId="02BC644D">
      <w:pPr>
        <w:spacing w:after="160" w:line="360" w:lineRule="auto"/>
        <w:jc w:val="both"/>
        <w:rPr>
          <w:sz w:val="28"/>
        </w:rPr>
      </w:pPr>
      <w:r>
        <w:rPr>
          <w:sz w:val="28"/>
        </w:rPr>
        <w:t>Ethical approval for this study was obtained from the Institutional Review Board (IRB) of the Afghan Ministry of Public Health (reference number: MOPH-IRB/2024/FARYAB-001) and from the administrative leadership of Faryab State Hospital. The study was conducted in full accordance with the principles of the Declaration of Helsinki (revised 2013).</w:t>
      </w:r>
    </w:p>
    <w:p w14:paraId="6FDBDBB5">
      <w:pPr>
        <w:spacing w:after="160" w:line="360" w:lineRule="auto"/>
        <w:jc w:val="both"/>
        <w:rPr>
          <w:sz w:val="28"/>
        </w:rPr>
      </w:pPr>
      <w:r>
        <w:rPr>
          <w:sz w:val="28"/>
        </w:rPr>
        <w:t>All participants provided written informed consent. For participants unable to read or write (approximately 55% of the sample), the consent form was read aloud in Dari or Pashto by a trained member of the research team in the presence of a literate witness, and verbal consent was documented with the witness's signature. Participants were explicitly informed that participation was entirely voluntary and that withdrawal at any time would have no effect on their medical care.</w:t>
      </w:r>
    </w:p>
    <w:p w14:paraId="63B1CAF8">
      <w:pPr>
        <w:spacing w:after="160" w:line="360" w:lineRule="auto"/>
        <w:jc w:val="both"/>
        <w:rPr>
          <w:sz w:val="28"/>
        </w:rPr>
      </w:pPr>
      <w:r>
        <w:rPr>
          <w:sz w:val="28"/>
        </w:rPr>
        <w:t>Confidentiality was maintained by assigning each participant a unique alphanumeric study ID. The master list linking IDs to personal identifiers was stored in a password-protected electronic file and a locked physical filing cabinet, accessible only to the principal investigator and the study supervisor. All data analyses were performed using anonymised datasets. Any participant found to have newly identified hypertension, hyperglycaemia, or dyslipidaemia was referred to the internal medicine department for clinical management, irrespective of study participation.</w:t>
      </w:r>
    </w:p>
    <w:p w14:paraId="09CB2687">
      <w:pPr>
        <w:spacing w:after="160" w:line="360" w:lineRule="auto"/>
        <w:jc w:val="both"/>
        <w:rPr>
          <w:sz w:val="28"/>
        </w:rPr>
      </w:pPr>
      <w:r>
        <w:rPr>
          <w:sz w:val="28"/>
        </w:rPr>
        <w:t>No financial remuneration or other inducement was offered to participants, and no participant was subjected to any intervention beyond standard care as part of study participation.</w:t>
      </w:r>
    </w:p>
    <w:p w14:paraId="3FD6DF02">
      <w:pPr>
        <w:pStyle w:val="3"/>
        <w:spacing w:before="320" w:line="360" w:lineRule="auto"/>
        <w:rPr>
          <w:sz w:val="28"/>
        </w:rPr>
      </w:pPr>
      <w:bookmarkStart w:id="60" w:name="__RefHeading___91881"/>
      <w:bookmarkEnd w:id="60"/>
      <w:r>
        <w:rPr>
          <w:sz w:val="28"/>
        </w:rPr>
        <w:t>Summary and Conclusions</w:t>
      </w:r>
    </w:p>
    <w:p w14:paraId="67336A02">
      <w:pPr>
        <w:spacing w:after="160" w:line="360" w:lineRule="auto"/>
        <w:jc w:val="both"/>
        <w:rPr>
          <w:sz w:val="28"/>
        </w:rPr>
      </w:pPr>
      <w:r>
        <w:rPr>
          <w:sz w:val="28"/>
        </w:rPr>
        <w:t>Chapter II reviewed the literature underpinning the psoriasis–MetS association across three pillars. The first pillar is immunopathogenesis: the IL-23/Th17 axis drives chronic overproduction of IL-17A, IL-17F, IL-22, TNF-α, and IL-6. These cytokines are not contained within the skin; they enter the systemic circulation and exert direct cardiometabolic effects. TNF-α induces peripheral insulin resistance by serine phosphorylation of IRS-1. IL-6 stimulates hepatic VLDL overproduction, generating hypertriglyceridaemia. IL-17 damages vascular endothelium, reducing nitric oxide bioavailability and driving hypertension. The adipose tissue crosstalk pathway — whereby visceral fat worsens psoriasis, and psoriasis-associated inactivity and depression worsen adiposity — constitutes a second, self-amplifying loop linking the two conditions.</w:t>
      </w:r>
    </w:p>
    <w:p w14:paraId="29EE9907">
      <w:pPr>
        <w:spacing w:after="160" w:line="360" w:lineRule="auto"/>
        <w:jc w:val="both"/>
        <w:rPr>
          <w:sz w:val="28"/>
        </w:rPr>
      </w:pPr>
      <w:r>
        <w:rPr>
          <w:sz w:val="28"/>
        </w:rPr>
        <w:t>The second pillar is the epidemiology of metabolic syndrome. Its global prevalence (20–25% of adults) has reached pandemic proportions. In Afghanistan, the only available estimate from a 2013 Kabul study places prevalence at 31.8% — but provincial data are absent. The South Asian paradox, whereby cardiometabolic risk materialises at lower BMI and waist circumference thresholds in South and Central Asian populations, is directly relevant to Afghan patients and justifies the use of Asian-specific diagnostic cutoffs.</w:t>
      </w:r>
    </w:p>
    <w:p w14:paraId="45151F18">
      <w:pPr>
        <w:spacing w:after="160" w:line="360" w:lineRule="auto"/>
        <w:jc w:val="both"/>
        <w:rPr>
          <w:sz w:val="28"/>
        </w:rPr>
      </w:pPr>
      <w:r>
        <w:rPr>
          <w:sz w:val="28"/>
        </w:rPr>
        <w:t>The third pillar is the evidence linking psoriasis and MetS. The Armstrong et al. (2013) meta-analysis of 35 studies (pooled OR = 2.14) establishes the global benchmark. Regional data from India (OR = 2.41), Iran (OR ≈ 2.0), Turkey (OR = 2.61), and Pakistan (OR ≈ 2.55) confirm that the association is robust across South-Central Asian populations. The dose-response gradient — with severe psoriasis carrying an OR of 5.29 — satisfies Bradford-Hill's biological gradient criterion for causal inference. The psychosocial pathway (depression, physical inactivity, stigma-driven avoidance of exercise) constitutes a second, behavioural route to metabolic syndrome independent of cytokine-mediated mechanisms.</w:t>
      </w:r>
    </w:p>
    <w:p w14:paraId="38E99814">
      <w:pPr>
        <w:spacing w:after="160" w:line="360" w:lineRule="auto"/>
        <w:jc w:val="both"/>
        <w:rPr>
          <w:sz w:val="28"/>
        </w:rPr>
      </w:pPr>
    </w:p>
    <w:p w14:paraId="7E5180B0">
      <w:pPr>
        <w:spacing w:after="160" w:line="360" w:lineRule="auto"/>
        <w:jc w:val="both"/>
        <w:rPr>
          <w:sz w:val="28"/>
        </w:rPr>
      </w:pPr>
    </w:p>
    <w:p w14:paraId="33CB7F6E">
      <w:pPr>
        <w:spacing w:after="160" w:line="360" w:lineRule="auto"/>
        <w:jc w:val="both"/>
        <w:rPr>
          <w:sz w:val="28"/>
        </w:rPr>
      </w:pPr>
    </w:p>
    <w:p w14:paraId="7C6FC1BD">
      <w:pPr>
        <w:spacing w:after="160" w:line="360" w:lineRule="auto"/>
        <w:jc w:val="both"/>
        <w:rPr>
          <w:sz w:val="28"/>
        </w:rPr>
      </w:pPr>
    </w:p>
    <w:p w14:paraId="6D766E49">
      <w:pPr>
        <w:spacing w:after="160" w:line="360" w:lineRule="auto"/>
        <w:jc w:val="both"/>
        <w:rPr>
          <w:sz w:val="28"/>
        </w:rPr>
      </w:pPr>
    </w:p>
    <w:p w14:paraId="43EE6835">
      <w:pPr>
        <w:spacing w:after="160" w:line="360" w:lineRule="auto"/>
        <w:jc w:val="both"/>
        <w:rPr>
          <w:sz w:val="28"/>
        </w:rPr>
      </w:pPr>
    </w:p>
    <w:p w14:paraId="0D525AD2">
      <w:pPr>
        <w:spacing w:after="160" w:line="360" w:lineRule="auto"/>
        <w:jc w:val="both"/>
        <w:rPr>
          <w:sz w:val="28"/>
        </w:rPr>
      </w:pPr>
    </w:p>
    <w:p w14:paraId="6F558787">
      <w:pPr>
        <w:spacing w:after="160" w:line="360" w:lineRule="auto"/>
        <w:jc w:val="both"/>
        <w:rPr>
          <w:sz w:val="28"/>
        </w:rPr>
      </w:pPr>
    </w:p>
    <w:p w14:paraId="63021F99">
      <w:pPr>
        <w:spacing w:after="160" w:line="360" w:lineRule="auto"/>
        <w:jc w:val="both"/>
        <w:rPr>
          <w:sz w:val="28"/>
        </w:rPr>
      </w:pPr>
    </w:p>
    <w:p w14:paraId="65627BEB">
      <w:pPr>
        <w:spacing w:after="160" w:line="360" w:lineRule="auto"/>
        <w:jc w:val="both"/>
        <w:rPr>
          <w:sz w:val="28"/>
        </w:rPr>
      </w:pPr>
    </w:p>
    <w:p w14:paraId="2F010388">
      <w:pPr>
        <w:spacing w:after="160" w:line="360" w:lineRule="auto"/>
        <w:jc w:val="both"/>
        <w:rPr>
          <w:sz w:val="28"/>
        </w:rPr>
      </w:pPr>
    </w:p>
    <w:p w14:paraId="629D0DFC">
      <w:pPr>
        <w:spacing w:line="360" w:lineRule="auto"/>
        <w:jc w:val="both"/>
        <w:rPr>
          <w:sz w:val="28"/>
        </w:rPr>
      </w:pPr>
      <w:bookmarkStart w:id="61" w:name="__RefHeading___91882"/>
      <w:bookmarkEnd w:id="61"/>
      <w:r>
        <w:rPr>
          <w:b/>
          <w:caps/>
          <w:sz w:val="36"/>
        </w:rPr>
        <w:t xml:space="preserve">                         Chapter IV: Results</w:t>
      </w:r>
    </w:p>
    <w:p w14:paraId="3C58DC4F">
      <w:pPr>
        <w:pStyle w:val="2"/>
        <w:spacing w:before="400" w:after="200"/>
        <w:jc w:val="center"/>
        <w:rPr>
          <w:b/>
          <w:color w:val="000000"/>
          <w:sz w:val="36"/>
        </w:rPr>
      </w:pPr>
      <w:bookmarkStart w:id="62" w:name="__RefHeading___91883"/>
      <w:bookmarkEnd w:id="62"/>
      <w:r>
        <w:rPr>
          <w:b/>
          <w:color w:val="000000"/>
          <w:sz w:val="36"/>
        </w:rPr>
        <w:t>__________________________________________________</w:t>
      </w:r>
    </w:p>
    <w:p w14:paraId="6728BE6C">
      <w:pPr>
        <w:pStyle w:val="3"/>
        <w:spacing w:line="360" w:lineRule="auto"/>
        <w:jc w:val="both"/>
        <w:rPr>
          <w:sz w:val="28"/>
        </w:rPr>
      </w:pPr>
      <w:bookmarkStart w:id="63" w:name="__RefHeading___91884"/>
      <w:bookmarkEnd w:id="63"/>
      <w:r>
        <w:rPr>
          <w:sz w:val="28"/>
        </w:rPr>
        <w:t>4.1 Socio-Demographic Characteristics of Participants</w:t>
      </w:r>
    </w:p>
    <w:p w14:paraId="7A716CC4">
      <w:pPr>
        <w:spacing w:after="160" w:line="360" w:lineRule="auto"/>
        <w:jc w:val="both"/>
        <w:rPr>
          <w:sz w:val="28"/>
        </w:rPr>
      </w:pPr>
      <w:r>
        <w:rPr>
          <w:sz w:val="28"/>
        </w:rPr>
        <w:t>A total of 300 participants — 150 psoriasis cases and 150 controls — were enrolled. The response rate was 100%; no eligible participant who was approached declined to participate or subsequently withdrew from the study. Table 4.1 summarises the socio-demographic characteristics of both groups.</w:t>
      </w:r>
    </w:p>
    <w:p w14:paraId="383B6593">
      <w:pPr>
        <w:spacing w:after="160" w:line="360" w:lineRule="auto"/>
        <w:jc w:val="both"/>
        <w:rPr>
          <w:sz w:val="28"/>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00"/>
        <w:gridCol w:w="2000"/>
        <w:gridCol w:w="2000"/>
        <w:gridCol w:w="2000"/>
      </w:tblGrid>
      <w:tr w14:paraId="2CD05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3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6E3E22A0">
            <w:pPr>
              <w:spacing w:line="360" w:lineRule="auto"/>
              <w:jc w:val="both"/>
              <w:rPr>
                <w:sz w:val="28"/>
              </w:rPr>
            </w:pPr>
            <w:r>
              <w:rPr>
                <w:b/>
                <w:sz w:val="28"/>
              </w:rPr>
              <w:t>Variable</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75772D78">
            <w:pPr>
              <w:spacing w:line="360" w:lineRule="auto"/>
              <w:jc w:val="both"/>
              <w:rPr>
                <w:sz w:val="28"/>
              </w:rPr>
            </w:pPr>
            <w:r>
              <w:rPr>
                <w:b/>
                <w:sz w:val="28"/>
              </w:rPr>
              <w:t>Psoriasis Cases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EFF00B7">
            <w:pPr>
              <w:spacing w:line="360" w:lineRule="auto"/>
              <w:jc w:val="both"/>
              <w:rPr>
                <w:sz w:val="28"/>
              </w:rPr>
            </w:pPr>
            <w:r>
              <w:rPr>
                <w:b/>
                <w:sz w:val="28"/>
              </w:rPr>
              <w:t>Controls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31DBD4CC">
            <w:pPr>
              <w:spacing w:line="360" w:lineRule="auto"/>
              <w:jc w:val="both"/>
              <w:rPr>
                <w:sz w:val="28"/>
              </w:rPr>
            </w:pPr>
            <w:r>
              <w:rPr>
                <w:b/>
                <w:sz w:val="28"/>
              </w:rPr>
              <w:t>p-value</w:t>
            </w:r>
          </w:p>
        </w:tc>
      </w:tr>
      <w:tr w14:paraId="26CB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0290974">
            <w:pPr>
              <w:spacing w:line="360" w:lineRule="auto"/>
              <w:jc w:val="both"/>
              <w:rPr>
                <w:sz w:val="28"/>
              </w:rPr>
            </w:pPr>
            <w:r>
              <w:rPr>
                <w:sz w:val="28"/>
              </w:rPr>
              <w:t>Age — mean ± SD (years)</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5655E97">
            <w:pPr>
              <w:spacing w:line="360" w:lineRule="auto"/>
              <w:jc w:val="both"/>
              <w:rPr>
                <w:sz w:val="28"/>
              </w:rPr>
            </w:pPr>
            <w:r>
              <w:rPr>
                <w:sz w:val="28"/>
              </w:rPr>
              <w:t>35.5 ± 12.1</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AF33512">
            <w:pPr>
              <w:spacing w:line="360" w:lineRule="auto"/>
              <w:jc w:val="both"/>
              <w:rPr>
                <w:sz w:val="28"/>
              </w:rPr>
            </w:pPr>
            <w:r>
              <w:rPr>
                <w:sz w:val="28"/>
              </w:rPr>
              <w:t>41.8 ± 13.7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21B94D0">
            <w:pPr>
              <w:spacing w:line="360" w:lineRule="auto"/>
              <w:jc w:val="both"/>
              <w:rPr>
                <w:sz w:val="28"/>
              </w:rPr>
            </w:pPr>
            <w:r>
              <w:rPr>
                <w:sz w:val="28"/>
              </w:rPr>
              <w:t>&lt;0.001</w:t>
            </w:r>
          </w:p>
        </w:tc>
      </w:tr>
      <w:tr w14:paraId="221A9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A5A7F8B">
            <w:pPr>
              <w:spacing w:line="360" w:lineRule="auto"/>
              <w:jc w:val="both"/>
              <w:rPr>
                <w:sz w:val="28"/>
              </w:rPr>
            </w:pPr>
            <w:r>
              <w:rPr>
                <w:sz w:val="28"/>
              </w:rPr>
              <w:t>Sex — Male,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4EDA18D">
            <w:pPr>
              <w:spacing w:line="360" w:lineRule="auto"/>
              <w:jc w:val="both"/>
              <w:rPr>
                <w:sz w:val="28"/>
              </w:rPr>
            </w:pPr>
            <w:r>
              <w:rPr>
                <w:sz w:val="28"/>
              </w:rPr>
              <w:t>74 (49.3%)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F1BE1B3">
            <w:pPr>
              <w:spacing w:line="360" w:lineRule="auto"/>
              <w:jc w:val="both"/>
              <w:rPr>
                <w:sz w:val="28"/>
              </w:rPr>
            </w:pPr>
            <w:r>
              <w:rPr>
                <w:sz w:val="28"/>
              </w:rPr>
              <w:t>72 (48.0%)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C837932">
            <w:pPr>
              <w:spacing w:line="360" w:lineRule="auto"/>
              <w:jc w:val="both"/>
              <w:rPr>
                <w:sz w:val="28"/>
              </w:rPr>
            </w:pPr>
            <w:r>
              <w:rPr>
                <w:sz w:val="28"/>
              </w:rPr>
              <w:t>0.820</w:t>
            </w:r>
          </w:p>
        </w:tc>
      </w:tr>
      <w:tr w14:paraId="2FE2F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EC3058A">
            <w:pPr>
              <w:spacing w:line="360" w:lineRule="auto"/>
              <w:jc w:val="both"/>
              <w:rPr>
                <w:sz w:val="28"/>
              </w:rPr>
            </w:pPr>
            <w:r>
              <w:rPr>
                <w:sz w:val="28"/>
              </w:rPr>
              <w:t>Sex — Female,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E26A018">
            <w:pPr>
              <w:spacing w:line="360" w:lineRule="auto"/>
              <w:jc w:val="both"/>
              <w:rPr>
                <w:sz w:val="28"/>
              </w:rPr>
            </w:pPr>
            <w:r>
              <w:rPr>
                <w:sz w:val="28"/>
              </w:rPr>
              <w:t>76 (50.7%)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8244F5D">
            <w:pPr>
              <w:spacing w:line="360" w:lineRule="auto"/>
              <w:jc w:val="both"/>
              <w:rPr>
                <w:sz w:val="28"/>
              </w:rPr>
            </w:pPr>
            <w:r>
              <w:rPr>
                <w:sz w:val="28"/>
              </w:rPr>
              <w:t>78 (52.0%)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5EC141F">
            <w:pPr>
              <w:spacing w:line="360" w:lineRule="auto"/>
              <w:jc w:val="both"/>
              <w:rPr>
                <w:sz w:val="28"/>
              </w:rPr>
            </w:pPr>
            <w:r>
              <w:rPr>
                <w:sz w:val="28"/>
              </w:rPr>
              <w:t>0.820</w:t>
            </w:r>
          </w:p>
        </w:tc>
      </w:tr>
      <w:tr w14:paraId="0137E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50E708E">
            <w:pPr>
              <w:spacing w:line="360" w:lineRule="auto"/>
              <w:jc w:val="both"/>
              <w:rPr>
                <w:sz w:val="28"/>
              </w:rPr>
            </w:pPr>
            <w:r>
              <w:rPr>
                <w:sz w:val="28"/>
              </w:rPr>
              <w:t>Residence — Urban,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9C1D457">
            <w:pPr>
              <w:spacing w:line="360" w:lineRule="auto"/>
              <w:jc w:val="both"/>
              <w:rPr>
                <w:sz w:val="28"/>
              </w:rPr>
            </w:pPr>
            <w:r>
              <w:rPr>
                <w:sz w:val="28"/>
              </w:rPr>
              <w:t>82 (54.7%)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99BC880">
            <w:pPr>
              <w:spacing w:line="360" w:lineRule="auto"/>
              <w:jc w:val="both"/>
              <w:rPr>
                <w:sz w:val="28"/>
              </w:rPr>
            </w:pPr>
            <w:r>
              <w:rPr>
                <w:sz w:val="28"/>
              </w:rPr>
              <w:t>87 (58.0%)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C278262">
            <w:pPr>
              <w:spacing w:line="360" w:lineRule="auto"/>
              <w:jc w:val="both"/>
              <w:rPr>
                <w:sz w:val="28"/>
              </w:rPr>
            </w:pPr>
            <w:r>
              <w:rPr>
                <w:sz w:val="28"/>
              </w:rPr>
              <w:t>0.450</w:t>
            </w:r>
          </w:p>
        </w:tc>
      </w:tr>
      <w:tr w14:paraId="3D77B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3458480">
            <w:pPr>
              <w:spacing w:line="360" w:lineRule="auto"/>
              <w:jc w:val="both"/>
              <w:rPr>
                <w:sz w:val="28"/>
              </w:rPr>
            </w:pPr>
            <w:r>
              <w:rPr>
                <w:sz w:val="28"/>
              </w:rPr>
              <w:t>Residence — Rural,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FF8B7DA">
            <w:pPr>
              <w:spacing w:line="360" w:lineRule="auto"/>
              <w:jc w:val="both"/>
              <w:rPr>
                <w:sz w:val="28"/>
              </w:rPr>
            </w:pPr>
            <w:r>
              <w:rPr>
                <w:sz w:val="28"/>
              </w:rPr>
              <w:t>68 (45.3%)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7E6E9C1">
            <w:pPr>
              <w:spacing w:line="360" w:lineRule="auto"/>
              <w:jc w:val="both"/>
              <w:rPr>
                <w:sz w:val="28"/>
              </w:rPr>
            </w:pPr>
            <w:r>
              <w:rPr>
                <w:sz w:val="28"/>
              </w:rPr>
              <w:t>63 (42.0%)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1EE18A6">
            <w:pPr>
              <w:spacing w:line="360" w:lineRule="auto"/>
              <w:jc w:val="both"/>
              <w:rPr>
                <w:sz w:val="28"/>
              </w:rPr>
            </w:pPr>
            <w:r>
              <w:rPr>
                <w:sz w:val="28"/>
              </w:rPr>
              <w:t>0.450</w:t>
            </w:r>
          </w:p>
        </w:tc>
      </w:tr>
      <w:tr w14:paraId="2E6CD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E8EA6A3">
            <w:pPr>
              <w:spacing w:line="360" w:lineRule="auto"/>
              <w:jc w:val="both"/>
              <w:rPr>
                <w:sz w:val="28"/>
              </w:rPr>
            </w:pPr>
            <w:r>
              <w:rPr>
                <w:sz w:val="28"/>
              </w:rPr>
              <w:t>Ethnicity — Uzbek,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72F4782">
            <w:pPr>
              <w:spacing w:line="360" w:lineRule="auto"/>
              <w:jc w:val="both"/>
              <w:rPr>
                <w:sz w:val="28"/>
              </w:rPr>
            </w:pPr>
            <w:r>
              <w:rPr>
                <w:sz w:val="28"/>
              </w:rPr>
              <w:t>63 (42.0%)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FE595AC">
            <w:pPr>
              <w:spacing w:line="360" w:lineRule="auto"/>
              <w:jc w:val="both"/>
              <w:rPr>
                <w:sz w:val="28"/>
              </w:rPr>
            </w:pPr>
            <w:r>
              <w:rPr>
                <w:sz w:val="28"/>
              </w:rPr>
              <w:t>61 (40.7%)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B7CBD82">
            <w:pPr>
              <w:spacing w:line="360" w:lineRule="auto"/>
              <w:jc w:val="both"/>
              <w:rPr>
                <w:sz w:val="28"/>
              </w:rPr>
            </w:pPr>
            <w:r>
              <w:rPr>
                <w:sz w:val="28"/>
              </w:rPr>
              <w:t>0.910</w:t>
            </w:r>
          </w:p>
        </w:tc>
      </w:tr>
      <w:tr w14:paraId="54612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21EFBC4">
            <w:pPr>
              <w:spacing w:line="360" w:lineRule="auto"/>
              <w:jc w:val="both"/>
              <w:rPr>
                <w:sz w:val="28"/>
              </w:rPr>
            </w:pPr>
            <w:r>
              <w:rPr>
                <w:sz w:val="28"/>
              </w:rPr>
              <w:t>Ethnicity — Tajik,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FE01FAC">
            <w:pPr>
              <w:spacing w:line="360" w:lineRule="auto"/>
              <w:jc w:val="both"/>
              <w:rPr>
                <w:sz w:val="28"/>
              </w:rPr>
            </w:pPr>
            <w:r>
              <w:rPr>
                <w:sz w:val="28"/>
              </w:rPr>
              <w:t>47 (31.3%)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82B5C59">
            <w:pPr>
              <w:spacing w:line="360" w:lineRule="auto"/>
              <w:jc w:val="both"/>
              <w:rPr>
                <w:sz w:val="28"/>
              </w:rPr>
            </w:pPr>
            <w:r>
              <w:rPr>
                <w:sz w:val="28"/>
              </w:rPr>
              <w:t>49 (32.7%)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BEFD67A">
            <w:pPr>
              <w:spacing w:line="360" w:lineRule="auto"/>
              <w:jc w:val="both"/>
              <w:rPr>
                <w:sz w:val="28"/>
              </w:rPr>
            </w:pPr>
            <w:r>
              <w:rPr>
                <w:sz w:val="28"/>
              </w:rPr>
              <w:t>0.910</w:t>
            </w:r>
          </w:p>
        </w:tc>
      </w:tr>
      <w:tr w14:paraId="57A2E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95A7156">
            <w:pPr>
              <w:spacing w:line="360" w:lineRule="auto"/>
              <w:jc w:val="both"/>
              <w:rPr>
                <w:sz w:val="28"/>
              </w:rPr>
            </w:pPr>
            <w:r>
              <w:rPr>
                <w:sz w:val="28"/>
              </w:rPr>
              <w:t>Ethnicity — Pashtun,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62B94C3">
            <w:pPr>
              <w:spacing w:line="360" w:lineRule="auto"/>
              <w:jc w:val="both"/>
              <w:rPr>
                <w:sz w:val="28"/>
              </w:rPr>
            </w:pPr>
            <w:r>
              <w:rPr>
                <w:sz w:val="28"/>
              </w:rPr>
              <w:t>40 (26.7%)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A63906C">
            <w:pPr>
              <w:spacing w:line="360" w:lineRule="auto"/>
              <w:jc w:val="both"/>
              <w:rPr>
                <w:sz w:val="28"/>
              </w:rPr>
            </w:pPr>
            <w:r>
              <w:rPr>
                <w:sz w:val="28"/>
              </w:rPr>
              <w:t>40 (26.7%)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AF4362B">
            <w:pPr>
              <w:spacing w:line="360" w:lineRule="auto"/>
              <w:jc w:val="both"/>
              <w:rPr>
                <w:sz w:val="28"/>
              </w:rPr>
            </w:pPr>
            <w:r>
              <w:rPr>
                <w:sz w:val="28"/>
              </w:rPr>
              <w:t>0.910</w:t>
            </w:r>
          </w:p>
        </w:tc>
      </w:tr>
      <w:tr w14:paraId="34F62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1829533">
            <w:pPr>
              <w:spacing w:line="360" w:lineRule="auto"/>
              <w:jc w:val="both"/>
              <w:rPr>
                <w:sz w:val="28"/>
              </w:rPr>
            </w:pPr>
            <w:r>
              <w:rPr>
                <w:sz w:val="28"/>
              </w:rPr>
              <w:t>Education — Illiterate,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AF09B5C">
            <w:pPr>
              <w:spacing w:line="360" w:lineRule="auto"/>
              <w:jc w:val="both"/>
              <w:rPr>
                <w:sz w:val="28"/>
              </w:rPr>
            </w:pPr>
            <w:r>
              <w:rPr>
                <w:sz w:val="28"/>
              </w:rPr>
              <w:t>83 (55.3%)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7D1D626">
            <w:pPr>
              <w:spacing w:line="360" w:lineRule="auto"/>
              <w:jc w:val="both"/>
              <w:rPr>
                <w:sz w:val="28"/>
              </w:rPr>
            </w:pPr>
            <w:r>
              <w:rPr>
                <w:sz w:val="28"/>
              </w:rPr>
              <w:t>84 (56.0%)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2C2B96">
            <w:pPr>
              <w:spacing w:line="360" w:lineRule="auto"/>
              <w:jc w:val="both"/>
              <w:rPr>
                <w:sz w:val="28"/>
              </w:rPr>
            </w:pPr>
            <w:r>
              <w:rPr>
                <w:sz w:val="28"/>
              </w:rPr>
              <w:t>0.880</w:t>
            </w:r>
          </w:p>
        </w:tc>
      </w:tr>
      <w:tr w14:paraId="55176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A71EEA3">
            <w:pPr>
              <w:spacing w:line="360" w:lineRule="auto"/>
              <w:jc w:val="both"/>
              <w:rPr>
                <w:sz w:val="28"/>
              </w:rPr>
            </w:pPr>
            <w:r>
              <w:rPr>
                <w:sz w:val="28"/>
              </w:rPr>
              <w:t>Education — Literate,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75ACEE9">
            <w:pPr>
              <w:spacing w:line="360" w:lineRule="auto"/>
              <w:jc w:val="both"/>
              <w:rPr>
                <w:sz w:val="28"/>
              </w:rPr>
            </w:pPr>
            <w:r>
              <w:rPr>
                <w:sz w:val="28"/>
              </w:rPr>
              <w:t>67 (44.7%)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BB3C3F7">
            <w:pPr>
              <w:spacing w:line="360" w:lineRule="auto"/>
              <w:jc w:val="both"/>
              <w:rPr>
                <w:sz w:val="28"/>
              </w:rPr>
            </w:pPr>
            <w:r>
              <w:rPr>
                <w:sz w:val="28"/>
              </w:rPr>
              <w:t>66 (44.0%)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FFA11ED">
            <w:pPr>
              <w:spacing w:line="360" w:lineRule="auto"/>
              <w:jc w:val="both"/>
              <w:rPr>
                <w:sz w:val="28"/>
              </w:rPr>
            </w:pPr>
            <w:r>
              <w:rPr>
                <w:sz w:val="28"/>
              </w:rPr>
              <w:t>0.880</w:t>
            </w:r>
          </w:p>
        </w:tc>
      </w:tr>
    </w:tbl>
    <w:p w14:paraId="6F09AEB1">
      <w:pPr>
        <w:spacing w:before="80" w:after="160" w:line="360" w:lineRule="auto"/>
        <w:jc w:val="both"/>
        <w:rPr>
          <w:iCs/>
          <w:sz w:val="28"/>
        </w:rPr>
      </w:pPr>
      <w:r>
        <w:rPr>
          <w:iCs/>
          <w:sz w:val="28"/>
        </w:rPr>
        <w:t>Table 4.1: Socio-Demographic Characteristics of Study Participants (n = 300)</w:t>
      </w:r>
    </w:p>
    <w:p w14:paraId="477D5C54">
      <w:pPr>
        <w:spacing w:before="80" w:after="160" w:line="360" w:lineRule="auto"/>
        <w:jc w:val="both"/>
        <w:rPr>
          <w:sz w:val="28"/>
        </w:rPr>
      </w:pPr>
    </w:p>
    <w:p w14:paraId="7062A38A">
      <w:pPr>
        <w:spacing w:after="160" w:line="360" w:lineRule="auto"/>
        <w:jc w:val="both"/>
        <w:rPr>
          <w:sz w:val="28"/>
        </w:rPr>
      </w:pPr>
      <w:r>
        <w:rPr>
          <w:sz w:val="28"/>
        </w:rPr>
        <w:t>The cases were significantly younger than the controls (35.5 ± 12.1 vs. 41.8 ± 13.7 years; p &lt; 0.001). This age difference is consistent with the known early-onset peak of psoriasis and the later-occurring control conditions (e.g., seborrhoeic keratoses). All other socio-demographic variables were closely matched between groups (sex: p = 0.82; residence: p = 0.45; ethnicity: p = 0.91; education: p = 0.88), confirming the effectiveness of the matching strategy. The high proportion of illiterate participants (55.3–56.0%) in both groups reflects the educational reality of Faryab Province.</w:t>
      </w:r>
    </w:p>
    <w:p w14:paraId="6ACDE43C">
      <w:pPr>
        <w:spacing w:after="160" w:line="360" w:lineRule="auto"/>
        <w:jc w:val="both"/>
        <w:rPr>
          <w:sz w:val="28"/>
        </w:rPr>
      </w:pPr>
    </w:p>
    <w:p w14:paraId="47D33449">
      <w:pPr>
        <w:spacing w:after="160" w:line="360" w:lineRule="auto"/>
        <w:jc w:val="both"/>
        <w:rPr>
          <w:sz w:val="28"/>
        </w:rPr>
      </w:pPr>
    </w:p>
    <w:p w14:paraId="4455F7CF">
      <w:pPr>
        <w:spacing w:after="160" w:line="360" w:lineRule="auto"/>
        <w:jc w:val="both"/>
        <w:rPr>
          <w:sz w:val="28"/>
        </w:rPr>
      </w:pPr>
    </w:p>
    <w:p w14:paraId="67C6AF7D">
      <w:pPr>
        <w:spacing w:after="160" w:line="360" w:lineRule="auto"/>
        <w:jc w:val="both"/>
        <w:rPr>
          <w:sz w:val="28"/>
        </w:rPr>
      </w:pPr>
    </w:p>
    <w:p w14:paraId="25ADC838">
      <w:pPr>
        <w:pStyle w:val="3"/>
        <w:spacing w:line="360" w:lineRule="auto"/>
        <w:jc w:val="both"/>
        <w:rPr>
          <w:sz w:val="28"/>
        </w:rPr>
      </w:pPr>
      <w:bookmarkStart w:id="64" w:name="__RefHeading___91885"/>
      <w:bookmarkEnd w:id="64"/>
      <w:r>
        <w:rPr>
          <w:sz w:val="28"/>
        </w:rPr>
        <w:t>4.2 Clinical Characteristics of Psoriasis Cases</w:t>
      </w:r>
    </w:p>
    <w:p w14:paraId="612AF9C7">
      <w:pPr>
        <w:spacing w:after="160" w:line="360" w:lineRule="auto"/>
        <w:jc w:val="both"/>
        <w:rPr>
          <w:sz w:val="28"/>
        </w:rPr>
      </w:pPr>
      <w:r>
        <w:rPr>
          <w:sz w:val="28"/>
        </w:rPr>
        <w:t>Table 4.2 presents the clinical characteristics of the 150 psoriasis patients.</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00"/>
        <w:gridCol w:w="3600"/>
      </w:tblGrid>
      <w:tr w14:paraId="072E3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54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BA5D6CF">
            <w:pPr>
              <w:spacing w:line="360" w:lineRule="auto"/>
              <w:jc w:val="both"/>
              <w:rPr>
                <w:sz w:val="28"/>
              </w:rPr>
            </w:pPr>
            <w:r>
              <w:rPr>
                <w:b/>
                <w:sz w:val="28"/>
              </w:rPr>
              <w:t>Clinical Variable</w:t>
            </w:r>
          </w:p>
        </w:tc>
        <w:tc>
          <w:tcPr>
            <w:tcW w:w="36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5BC0F0B6">
            <w:pPr>
              <w:spacing w:line="360" w:lineRule="auto"/>
              <w:jc w:val="both"/>
              <w:rPr>
                <w:sz w:val="28"/>
              </w:rPr>
            </w:pPr>
            <w:r>
              <w:rPr>
                <w:b/>
                <w:sz w:val="28"/>
              </w:rPr>
              <w:t>Value</w:t>
            </w:r>
          </w:p>
        </w:tc>
      </w:tr>
      <w:tr w14:paraId="1FA1D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011BE06">
            <w:pPr>
              <w:spacing w:line="360" w:lineRule="auto"/>
              <w:jc w:val="both"/>
              <w:rPr>
                <w:sz w:val="28"/>
              </w:rPr>
            </w:pPr>
            <w:r>
              <w:rPr>
                <w:sz w:val="28"/>
              </w:rPr>
              <w:t>Disease duration — mean ± SD (years)</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E38E020">
            <w:pPr>
              <w:spacing w:line="360" w:lineRule="auto"/>
              <w:jc w:val="both"/>
              <w:rPr>
                <w:sz w:val="28"/>
              </w:rPr>
            </w:pPr>
            <w:r>
              <w:rPr>
                <w:sz w:val="28"/>
              </w:rPr>
              <w:t>4.9 ± 6.3</w:t>
            </w:r>
          </w:p>
        </w:tc>
      </w:tr>
      <w:tr w14:paraId="1A112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D21CAE0">
            <w:pPr>
              <w:spacing w:line="360" w:lineRule="auto"/>
              <w:jc w:val="both"/>
              <w:rPr>
                <w:sz w:val="28"/>
              </w:rPr>
            </w:pPr>
            <w:r>
              <w:rPr>
                <w:sz w:val="28"/>
              </w:rPr>
              <w:t>Disease duration — range (years)</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9B2ECA">
            <w:pPr>
              <w:spacing w:line="360" w:lineRule="auto"/>
              <w:jc w:val="both"/>
              <w:rPr>
                <w:sz w:val="28"/>
              </w:rPr>
            </w:pPr>
            <w:r>
              <w:rPr>
                <w:sz w:val="28"/>
              </w:rPr>
              <w:t>0.5 – 38</w:t>
            </w:r>
          </w:p>
        </w:tc>
      </w:tr>
      <w:tr w14:paraId="3451B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687244C">
            <w:pPr>
              <w:spacing w:line="360" w:lineRule="auto"/>
              <w:jc w:val="both"/>
              <w:rPr>
                <w:sz w:val="28"/>
              </w:rPr>
            </w:pPr>
            <w:r>
              <w:rPr>
                <w:sz w:val="28"/>
              </w:rPr>
              <w:t>PASI score — mean ± SD</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F97B1D0">
            <w:pPr>
              <w:spacing w:line="360" w:lineRule="auto"/>
              <w:jc w:val="both"/>
              <w:rPr>
                <w:sz w:val="28"/>
              </w:rPr>
            </w:pPr>
            <w:r>
              <w:rPr>
                <w:sz w:val="28"/>
              </w:rPr>
              <w:t>11.7 ± 5.9</w:t>
            </w:r>
          </w:p>
        </w:tc>
      </w:tr>
      <w:tr w14:paraId="437B7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4A95A8C">
            <w:pPr>
              <w:spacing w:line="360" w:lineRule="auto"/>
              <w:jc w:val="both"/>
              <w:rPr>
                <w:sz w:val="28"/>
              </w:rPr>
            </w:pPr>
            <w:r>
              <w:rPr>
                <w:sz w:val="28"/>
              </w:rPr>
              <w:t>PASI score — median (IQR)</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B937B70">
            <w:pPr>
              <w:spacing w:line="360" w:lineRule="auto"/>
              <w:jc w:val="both"/>
              <w:rPr>
                <w:sz w:val="28"/>
              </w:rPr>
            </w:pPr>
            <w:r>
              <w:rPr>
                <w:sz w:val="28"/>
              </w:rPr>
              <w:t>10.8 (7.2–15.5)</w:t>
            </w:r>
          </w:p>
        </w:tc>
      </w:tr>
      <w:tr w14:paraId="7A034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7BD8124">
            <w:pPr>
              <w:spacing w:line="360" w:lineRule="auto"/>
              <w:jc w:val="both"/>
              <w:rPr>
                <w:sz w:val="28"/>
              </w:rPr>
            </w:pPr>
            <w:r>
              <w:rPr>
                <w:sz w:val="28"/>
              </w:rPr>
              <w:t>PASI score — range</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8151715">
            <w:pPr>
              <w:spacing w:line="360" w:lineRule="auto"/>
              <w:jc w:val="both"/>
              <w:rPr>
                <w:sz w:val="28"/>
              </w:rPr>
            </w:pPr>
            <w:r>
              <w:rPr>
                <w:sz w:val="28"/>
              </w:rPr>
              <w:t>2.2 – 40.2</w:t>
            </w:r>
          </w:p>
        </w:tc>
      </w:tr>
      <w:tr w14:paraId="2C1EA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CF60555">
            <w:pPr>
              <w:spacing w:line="360" w:lineRule="auto"/>
              <w:jc w:val="both"/>
              <w:rPr>
                <w:sz w:val="28"/>
              </w:rPr>
            </w:pPr>
            <w:r>
              <w:rPr>
                <w:sz w:val="28"/>
              </w:rPr>
              <w:t>Mild psoriasis (PASI &lt; 10), n (%)</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4033455">
            <w:pPr>
              <w:spacing w:line="360" w:lineRule="auto"/>
              <w:jc w:val="both"/>
              <w:rPr>
                <w:sz w:val="28"/>
              </w:rPr>
            </w:pPr>
            <w:r>
              <w:rPr>
                <w:sz w:val="28"/>
              </w:rPr>
              <w:t>53 (35.3%)</w:t>
            </w:r>
          </w:p>
        </w:tc>
      </w:tr>
      <w:tr w14:paraId="5CF1F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56A52BC">
            <w:pPr>
              <w:spacing w:line="360" w:lineRule="auto"/>
              <w:jc w:val="both"/>
              <w:rPr>
                <w:sz w:val="28"/>
              </w:rPr>
            </w:pPr>
            <w:r>
              <w:rPr>
                <w:sz w:val="28"/>
              </w:rPr>
              <w:t>Moderate-to-severe psoriasis (PASI ≥ 10), n (%)</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5DD6055">
            <w:pPr>
              <w:spacing w:line="360" w:lineRule="auto"/>
              <w:jc w:val="both"/>
              <w:rPr>
                <w:sz w:val="28"/>
              </w:rPr>
            </w:pPr>
            <w:r>
              <w:rPr>
                <w:sz w:val="28"/>
              </w:rPr>
              <w:t>97 (64.7%)</w:t>
            </w:r>
          </w:p>
        </w:tc>
      </w:tr>
      <w:tr w14:paraId="15BBE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7AFE2D7">
            <w:pPr>
              <w:spacing w:line="360" w:lineRule="auto"/>
              <w:jc w:val="both"/>
              <w:rPr>
                <w:sz w:val="28"/>
              </w:rPr>
            </w:pPr>
            <w:r>
              <w:rPr>
                <w:sz w:val="28"/>
              </w:rPr>
              <w:t>Psoriatic arthritis, n (%)</w:t>
            </w:r>
          </w:p>
        </w:tc>
        <w:tc>
          <w:tcPr>
            <w:tcW w:w="36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1DEA2F3">
            <w:pPr>
              <w:spacing w:line="360" w:lineRule="auto"/>
              <w:jc w:val="both"/>
              <w:rPr>
                <w:sz w:val="28"/>
              </w:rPr>
            </w:pPr>
            <w:r>
              <w:rPr>
                <w:sz w:val="28"/>
              </w:rPr>
              <w:t>13 (8.7%)</w:t>
            </w:r>
          </w:p>
        </w:tc>
      </w:tr>
    </w:tbl>
    <w:p w14:paraId="0E1AA5A4">
      <w:pPr>
        <w:spacing w:before="80" w:after="160" w:line="360" w:lineRule="auto"/>
        <w:jc w:val="both"/>
        <w:rPr>
          <w:iCs/>
          <w:sz w:val="28"/>
        </w:rPr>
      </w:pPr>
      <w:r>
        <w:rPr>
          <w:iCs/>
          <w:sz w:val="28"/>
        </w:rPr>
        <w:t>Table 4.2: Clinical Characteristics of Psoriasis Patients (n = 150)</w:t>
      </w:r>
    </w:p>
    <w:p w14:paraId="51E0058B">
      <w:pPr>
        <w:spacing w:after="160" w:line="360" w:lineRule="auto"/>
        <w:jc w:val="both"/>
        <w:rPr>
          <w:sz w:val="28"/>
        </w:rPr>
      </w:pPr>
    </w:p>
    <w:p w14:paraId="28E842BC">
      <w:pPr>
        <w:spacing w:after="160" w:line="360" w:lineRule="auto"/>
        <w:jc w:val="both"/>
        <w:rPr>
          <w:sz w:val="28"/>
        </w:rPr>
      </w:pPr>
      <w:r>
        <w:rPr>
          <w:sz w:val="28"/>
        </w:rPr>
        <w:t>The mean disease duration was 4.9 years, reflecting a wide spectrum from recently diagnosed patients to long-standing chronic disease. The mean PASI score of 11.7 indicates a predominantly moderate disease burden; 64.7% of patients had moderate-to-severe psoriasis (PASI ≥ 10). Psoriatic arthritis was confirmed in 8.7% of cases, somewhat lower than the global estimate of 20–30%, possibly reflecting diagnostic limitations in a resource-constrained setting.</w:t>
      </w:r>
    </w:p>
    <w:p w14:paraId="02E2AB86">
      <w:pPr>
        <w:spacing w:after="160" w:line="360" w:lineRule="auto"/>
        <w:jc w:val="both"/>
        <w:rPr>
          <w:sz w:val="28"/>
        </w:rPr>
      </w:pPr>
    </w:p>
    <w:p w14:paraId="2550502B">
      <w:pPr>
        <w:pStyle w:val="3"/>
        <w:spacing w:line="360" w:lineRule="auto"/>
        <w:jc w:val="both"/>
        <w:rPr>
          <w:sz w:val="28"/>
        </w:rPr>
      </w:pPr>
      <w:bookmarkStart w:id="65" w:name="__RefHeading___91886"/>
      <w:bookmarkEnd w:id="65"/>
      <w:r>
        <w:rPr>
          <w:sz w:val="28"/>
        </w:rPr>
        <w:t>4.3 Lifestyle and Psychosocial Characteristics</w:t>
      </w:r>
    </w:p>
    <w:p w14:paraId="06CAFB29">
      <w:pPr>
        <w:spacing w:after="160" w:line="360" w:lineRule="auto"/>
        <w:jc w:val="both"/>
        <w:rPr>
          <w:sz w:val="28"/>
        </w:rPr>
      </w:pPr>
      <w:r>
        <w:rPr>
          <w:sz w:val="28"/>
        </w:rPr>
        <w:t>Table 4.3 presents the lifestyle and psychosocial profile of both groups.</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00"/>
        <w:gridCol w:w="2000"/>
        <w:gridCol w:w="2000"/>
        <w:gridCol w:w="2000"/>
      </w:tblGrid>
      <w:tr w14:paraId="009C2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3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520E403E">
            <w:pPr>
              <w:spacing w:line="360" w:lineRule="auto"/>
              <w:jc w:val="both"/>
              <w:rPr>
                <w:sz w:val="28"/>
              </w:rPr>
            </w:pPr>
            <w:r>
              <w:rPr>
                <w:b/>
                <w:sz w:val="28"/>
              </w:rPr>
              <w:t>Variable</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6096ACB7">
            <w:pPr>
              <w:spacing w:line="360" w:lineRule="auto"/>
              <w:jc w:val="both"/>
              <w:rPr>
                <w:sz w:val="28"/>
              </w:rPr>
            </w:pPr>
            <w:r>
              <w:rPr>
                <w:b/>
                <w:sz w:val="28"/>
              </w:rPr>
              <w:t>Psoriasis Cases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730FEC35">
            <w:pPr>
              <w:spacing w:line="360" w:lineRule="auto"/>
              <w:jc w:val="both"/>
              <w:rPr>
                <w:sz w:val="28"/>
              </w:rPr>
            </w:pPr>
            <w:r>
              <w:rPr>
                <w:b/>
                <w:sz w:val="28"/>
              </w:rPr>
              <w:t>Controls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7E54BC02">
            <w:pPr>
              <w:spacing w:line="360" w:lineRule="auto"/>
              <w:jc w:val="both"/>
              <w:rPr>
                <w:sz w:val="28"/>
              </w:rPr>
            </w:pPr>
            <w:r>
              <w:rPr>
                <w:b/>
                <w:sz w:val="28"/>
              </w:rPr>
              <w:t>p-value</w:t>
            </w:r>
          </w:p>
        </w:tc>
      </w:tr>
      <w:tr w14:paraId="218BB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7B30EEB">
            <w:pPr>
              <w:spacing w:line="360" w:lineRule="auto"/>
              <w:jc w:val="both"/>
              <w:rPr>
                <w:sz w:val="28"/>
              </w:rPr>
            </w:pPr>
            <w:r>
              <w:rPr>
                <w:sz w:val="28"/>
              </w:rPr>
              <w:t>Regular physical activity (≥3×/week),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ECBD194">
            <w:pPr>
              <w:spacing w:line="360" w:lineRule="auto"/>
              <w:jc w:val="both"/>
              <w:rPr>
                <w:sz w:val="28"/>
              </w:rPr>
            </w:pPr>
            <w:r>
              <w:rPr>
                <w:sz w:val="28"/>
              </w:rPr>
              <w:t>24 (16.0%)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5A9324A">
            <w:pPr>
              <w:spacing w:line="360" w:lineRule="auto"/>
              <w:jc w:val="both"/>
              <w:rPr>
                <w:sz w:val="28"/>
              </w:rPr>
            </w:pPr>
            <w:r>
              <w:rPr>
                <w:sz w:val="28"/>
              </w:rPr>
              <w:t>51 (34.0%)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B5A4ECB">
            <w:pPr>
              <w:spacing w:line="360" w:lineRule="auto"/>
              <w:jc w:val="both"/>
              <w:rPr>
                <w:sz w:val="28"/>
              </w:rPr>
            </w:pPr>
            <w:r>
              <w:rPr>
                <w:sz w:val="28"/>
              </w:rPr>
              <w:t>&lt;0.001</w:t>
            </w:r>
          </w:p>
        </w:tc>
      </w:tr>
      <w:tr w14:paraId="181FC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4712DA">
            <w:pPr>
              <w:spacing w:line="360" w:lineRule="auto"/>
              <w:jc w:val="both"/>
              <w:rPr>
                <w:sz w:val="28"/>
              </w:rPr>
            </w:pPr>
            <w:r>
              <w:rPr>
                <w:sz w:val="28"/>
              </w:rPr>
              <w:t>Current smoker,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3BD4354">
            <w:pPr>
              <w:spacing w:line="360" w:lineRule="auto"/>
              <w:jc w:val="both"/>
              <w:rPr>
                <w:sz w:val="28"/>
              </w:rPr>
            </w:pPr>
            <w:r>
              <w:rPr>
                <w:sz w:val="28"/>
              </w:rPr>
              <w:t>38 (25.3%)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2824D36">
            <w:pPr>
              <w:spacing w:line="360" w:lineRule="auto"/>
              <w:jc w:val="both"/>
              <w:rPr>
                <w:sz w:val="28"/>
              </w:rPr>
            </w:pPr>
            <w:r>
              <w:rPr>
                <w:sz w:val="28"/>
              </w:rPr>
              <w:t>29 (19.3%)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93B51EE">
            <w:pPr>
              <w:spacing w:line="360" w:lineRule="auto"/>
              <w:jc w:val="both"/>
              <w:rPr>
                <w:sz w:val="28"/>
              </w:rPr>
            </w:pPr>
            <w:r>
              <w:rPr>
                <w:sz w:val="28"/>
              </w:rPr>
              <w:t>0.182</w:t>
            </w:r>
          </w:p>
        </w:tc>
      </w:tr>
      <w:tr w14:paraId="3DE76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4CDC5DF">
            <w:pPr>
              <w:spacing w:line="360" w:lineRule="auto"/>
              <w:jc w:val="both"/>
              <w:rPr>
                <w:sz w:val="28"/>
              </w:rPr>
            </w:pPr>
            <w:r>
              <w:rPr>
                <w:sz w:val="28"/>
              </w:rPr>
              <w:t>Life satisfaction — Satisfied,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BA2B39E">
            <w:pPr>
              <w:spacing w:line="360" w:lineRule="auto"/>
              <w:jc w:val="both"/>
              <w:rPr>
                <w:sz w:val="28"/>
              </w:rPr>
            </w:pPr>
            <w:r>
              <w:rPr>
                <w:sz w:val="28"/>
              </w:rPr>
              <w:t>37 (24.7%)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7923710">
            <w:pPr>
              <w:spacing w:line="360" w:lineRule="auto"/>
              <w:jc w:val="both"/>
              <w:rPr>
                <w:sz w:val="28"/>
              </w:rPr>
            </w:pPr>
            <w:r>
              <w:rPr>
                <w:sz w:val="28"/>
              </w:rPr>
              <w:t>138 (92.0%)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27B9CBA">
            <w:pPr>
              <w:spacing w:line="360" w:lineRule="auto"/>
              <w:jc w:val="both"/>
              <w:rPr>
                <w:sz w:val="28"/>
              </w:rPr>
            </w:pPr>
            <w:r>
              <w:rPr>
                <w:sz w:val="28"/>
              </w:rPr>
              <w:t>&lt;0.001</w:t>
            </w:r>
          </w:p>
        </w:tc>
      </w:tr>
      <w:tr w14:paraId="6905C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16E3EE2">
            <w:pPr>
              <w:spacing w:line="360" w:lineRule="auto"/>
              <w:jc w:val="both"/>
              <w:rPr>
                <w:sz w:val="28"/>
              </w:rPr>
            </w:pPr>
            <w:r>
              <w:rPr>
                <w:sz w:val="28"/>
              </w:rPr>
              <w:t>Life satisfaction — Neutral,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2647B87">
            <w:pPr>
              <w:spacing w:line="360" w:lineRule="auto"/>
              <w:jc w:val="both"/>
              <w:rPr>
                <w:sz w:val="28"/>
              </w:rPr>
            </w:pPr>
            <w:r>
              <w:rPr>
                <w:sz w:val="28"/>
              </w:rPr>
              <w:t>64 (42.7%)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341DB4D">
            <w:pPr>
              <w:spacing w:line="360" w:lineRule="auto"/>
              <w:jc w:val="both"/>
              <w:rPr>
                <w:sz w:val="28"/>
              </w:rPr>
            </w:pPr>
            <w:r>
              <w:rPr>
                <w:sz w:val="28"/>
              </w:rPr>
              <w:t>6 (4.0%)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16109AE">
            <w:pPr>
              <w:spacing w:line="360" w:lineRule="auto"/>
              <w:jc w:val="both"/>
              <w:rPr>
                <w:sz w:val="28"/>
              </w:rPr>
            </w:pPr>
            <w:r>
              <w:rPr>
                <w:sz w:val="28"/>
              </w:rPr>
              <w:t>&lt;0.001</w:t>
            </w:r>
          </w:p>
        </w:tc>
      </w:tr>
      <w:tr w14:paraId="5FFFD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2C0936C">
            <w:pPr>
              <w:spacing w:line="360" w:lineRule="auto"/>
              <w:jc w:val="both"/>
              <w:rPr>
                <w:sz w:val="28"/>
              </w:rPr>
            </w:pPr>
            <w:r>
              <w:rPr>
                <w:sz w:val="28"/>
              </w:rPr>
              <w:t>Life satisfaction — Dissatisfied,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30B6806">
            <w:pPr>
              <w:spacing w:line="360" w:lineRule="auto"/>
              <w:jc w:val="both"/>
              <w:rPr>
                <w:sz w:val="28"/>
              </w:rPr>
            </w:pPr>
            <w:r>
              <w:rPr>
                <w:sz w:val="28"/>
              </w:rPr>
              <w:t>49 (32.7%)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DB85497">
            <w:pPr>
              <w:spacing w:line="360" w:lineRule="auto"/>
              <w:jc w:val="both"/>
              <w:rPr>
                <w:sz w:val="28"/>
              </w:rPr>
            </w:pPr>
            <w:r>
              <w:rPr>
                <w:sz w:val="28"/>
              </w:rPr>
              <w:t>6 (4.0%)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2EFC812">
            <w:pPr>
              <w:spacing w:line="360" w:lineRule="auto"/>
              <w:jc w:val="both"/>
              <w:rPr>
                <w:sz w:val="28"/>
              </w:rPr>
            </w:pPr>
            <w:r>
              <w:rPr>
                <w:sz w:val="28"/>
              </w:rPr>
              <w:t>&lt;0.001</w:t>
            </w:r>
          </w:p>
        </w:tc>
      </w:tr>
      <w:tr w14:paraId="7A32F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D5B2643">
            <w:pPr>
              <w:spacing w:line="360" w:lineRule="auto"/>
              <w:jc w:val="both"/>
              <w:rPr>
                <w:sz w:val="28"/>
              </w:rPr>
            </w:pPr>
            <w:r>
              <w:rPr>
                <w:sz w:val="28"/>
              </w:rPr>
              <w:t>Family history of hypertension,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D0FC766">
            <w:pPr>
              <w:spacing w:line="360" w:lineRule="auto"/>
              <w:jc w:val="both"/>
              <w:rPr>
                <w:sz w:val="28"/>
              </w:rPr>
            </w:pPr>
            <w:r>
              <w:rPr>
                <w:sz w:val="28"/>
              </w:rPr>
              <w:t>36 (24.0%)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DCD965E">
            <w:pPr>
              <w:spacing w:line="360" w:lineRule="auto"/>
              <w:jc w:val="both"/>
              <w:rPr>
                <w:sz w:val="28"/>
              </w:rPr>
            </w:pPr>
            <w:r>
              <w:rPr>
                <w:sz w:val="28"/>
              </w:rPr>
              <w:t>15 (10.0%)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3E6419F">
            <w:pPr>
              <w:spacing w:line="360" w:lineRule="auto"/>
              <w:jc w:val="both"/>
              <w:rPr>
                <w:sz w:val="28"/>
              </w:rPr>
            </w:pPr>
            <w:r>
              <w:rPr>
                <w:sz w:val="28"/>
              </w:rPr>
              <w:t>0.001</w:t>
            </w:r>
          </w:p>
        </w:tc>
      </w:tr>
    </w:tbl>
    <w:p w14:paraId="16677A8B">
      <w:pPr>
        <w:spacing w:before="80" w:after="160" w:line="360" w:lineRule="auto"/>
        <w:jc w:val="both"/>
        <w:rPr>
          <w:iCs/>
          <w:sz w:val="28"/>
        </w:rPr>
      </w:pPr>
      <w:r>
        <w:rPr>
          <w:iCs/>
          <w:sz w:val="28"/>
        </w:rPr>
        <w:t>Table 4.3: Lifestyle and Psychosocial Characteristics of Participants</w:t>
      </w:r>
    </w:p>
    <w:p w14:paraId="040DC10D">
      <w:pPr>
        <w:spacing w:before="80" w:after="160" w:line="360" w:lineRule="auto"/>
        <w:jc w:val="both"/>
        <w:rPr>
          <w:sz w:val="28"/>
        </w:rPr>
      </w:pPr>
    </w:p>
    <w:p w14:paraId="17844A96">
      <w:pPr>
        <w:spacing w:after="160" w:line="360" w:lineRule="auto"/>
        <w:jc w:val="both"/>
        <w:rPr>
          <w:sz w:val="28"/>
        </w:rPr>
      </w:pPr>
      <w:r>
        <w:rPr>
          <w:sz w:val="28"/>
        </w:rPr>
        <w:t>Psoriasis patients were significantly less likely to engage in regular physical activity (16.0% vs. 34.0%; p &lt; 0.001). The life satisfaction data reveal a striking disparity: only 24.7% of psoriasis patients reported life satisfaction, compared to 92.0% of controls, while 32.7% of patients reported active dissatisfaction. This psychosocial burden — consistent with the international literature on depression and stigma in psoriasis — likely contributes independently to reduced physical activity and increased cardiometabolic risk. Family history of hypertension was significantly more prevalent in psoriasis patients (24.0% vs. 10.0%; p = 0.001), suggesting shared familial determinants of inflammatory and cardiometabolic disease.</w:t>
      </w:r>
    </w:p>
    <w:p w14:paraId="5C5A2919"/>
    <w:p w14:paraId="52EF445C">
      <w:pPr>
        <w:spacing w:before="120" w:after="60"/>
        <w:jc w:val="center"/>
      </w:pPr>
      <w:r>
        <w:drawing>
          <wp:inline distT="0" distB="0" distL="0" distR="0">
            <wp:extent cx="5962015" cy="285686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srcRect/>
                    <a:stretch>
                      <a:fillRect/>
                    </a:stretch>
                  </pic:blipFill>
                  <pic:spPr>
                    <a:xfrm>
                      <a:off x="0" y="0"/>
                      <a:ext cx="5962649" cy="2857499"/>
                    </a:xfrm>
                    <a:prstGeom prst="rect">
                      <a:avLst/>
                    </a:prstGeom>
                  </pic:spPr>
                </pic:pic>
              </a:graphicData>
            </a:graphic>
          </wp:inline>
        </w:drawing>
      </w:r>
    </w:p>
    <w:p w14:paraId="3737B2CC">
      <w:pPr>
        <w:spacing w:before="80" w:after="200"/>
        <w:jc w:val="center"/>
        <w:rPr>
          <w:iCs/>
        </w:rPr>
      </w:pPr>
      <w:r>
        <w:rPr>
          <w:iCs/>
          <w:sz w:val="22"/>
        </w:rPr>
        <w:t>Figure 4.4: Life Satisfaction Among Psoriasis Cases (n=150) and Controls (n=150). Only 24.7% of psoriasis patients reported life satisfaction (green), compared with 92.0% of controls. Over 75% of psoriasis patients reported neutral or active dissatisfaction — reflecting stigma, chronic pain, and social exclusion associated with visible skin disease in the Faryab Province cultural context. This disparity independently amplifies cardiometabolic risk through physical inactivity and HPA axis dysregulation (p &lt; 0.001).</w:t>
      </w:r>
    </w:p>
    <w:p w14:paraId="5EADB3F5">
      <w:pPr>
        <w:pStyle w:val="3"/>
        <w:spacing w:line="360" w:lineRule="auto"/>
        <w:jc w:val="both"/>
        <w:rPr>
          <w:sz w:val="28"/>
        </w:rPr>
      </w:pPr>
      <w:bookmarkStart w:id="66" w:name="__RefHeading___91887"/>
      <w:bookmarkEnd w:id="66"/>
      <w:r>
        <w:rPr>
          <w:sz w:val="28"/>
        </w:rPr>
        <w:t>4.4 Prevalence of Metabolic Syndrome and Its Components</w:t>
      </w:r>
    </w:p>
    <w:p w14:paraId="600226C7">
      <w:pPr>
        <w:spacing w:after="160" w:line="360" w:lineRule="auto"/>
        <w:jc w:val="both"/>
        <w:rPr>
          <w:sz w:val="28"/>
        </w:rPr>
      </w:pPr>
      <w:r>
        <w:rPr>
          <w:sz w:val="28"/>
        </w:rPr>
        <w:t>Table 4.4 presents the prevalence of overall metabolic syndrome and each individual component in both groups.</w:t>
      </w:r>
    </w:p>
    <w:p w14:paraId="512E627C">
      <w:pPr>
        <w:spacing w:after="160" w:line="360" w:lineRule="auto"/>
        <w:jc w:val="both"/>
        <w:rPr>
          <w:sz w:val="28"/>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00"/>
        <w:gridCol w:w="2000"/>
        <w:gridCol w:w="2000"/>
        <w:gridCol w:w="2000"/>
      </w:tblGrid>
      <w:tr w14:paraId="3F900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3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2D6C510E">
            <w:pPr>
              <w:spacing w:line="360" w:lineRule="auto"/>
              <w:jc w:val="both"/>
              <w:rPr>
                <w:sz w:val="28"/>
              </w:rPr>
            </w:pPr>
            <w:r>
              <w:rPr>
                <w:b/>
                <w:sz w:val="28"/>
              </w:rPr>
              <w:t>Variable</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C6F6469">
            <w:pPr>
              <w:spacing w:line="360" w:lineRule="auto"/>
              <w:jc w:val="both"/>
              <w:rPr>
                <w:sz w:val="28"/>
              </w:rPr>
            </w:pPr>
            <w:r>
              <w:rPr>
                <w:b/>
                <w:sz w:val="28"/>
              </w:rPr>
              <w:t>Psoriasis Cases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53A9B3A3">
            <w:pPr>
              <w:spacing w:line="360" w:lineRule="auto"/>
              <w:jc w:val="both"/>
              <w:rPr>
                <w:sz w:val="28"/>
              </w:rPr>
            </w:pPr>
            <w:r>
              <w:rPr>
                <w:b/>
                <w:sz w:val="28"/>
              </w:rPr>
              <w:t>Controls (n=150)</w:t>
            </w:r>
          </w:p>
        </w:tc>
        <w:tc>
          <w:tcPr>
            <w:tcW w:w="20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35BCC7ED">
            <w:pPr>
              <w:spacing w:line="360" w:lineRule="auto"/>
              <w:jc w:val="both"/>
              <w:rPr>
                <w:sz w:val="28"/>
              </w:rPr>
            </w:pPr>
            <w:r>
              <w:rPr>
                <w:b/>
                <w:sz w:val="28"/>
              </w:rPr>
              <w:t>p-value</w:t>
            </w:r>
          </w:p>
        </w:tc>
      </w:tr>
      <w:tr w14:paraId="198C9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799B843">
            <w:pPr>
              <w:spacing w:line="360" w:lineRule="auto"/>
              <w:jc w:val="both"/>
              <w:rPr>
                <w:sz w:val="28"/>
              </w:rPr>
            </w:pPr>
            <w:r>
              <w:rPr>
                <w:sz w:val="28"/>
              </w:rPr>
              <w:t>Metabolic Syndrome (≥3 components),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29BC4FE">
            <w:pPr>
              <w:spacing w:line="360" w:lineRule="auto"/>
              <w:jc w:val="both"/>
              <w:rPr>
                <w:sz w:val="28"/>
              </w:rPr>
            </w:pPr>
            <w:r>
              <w:rPr>
                <w:sz w:val="28"/>
              </w:rPr>
              <w:t>59 (39.3%)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B8A4727">
            <w:pPr>
              <w:spacing w:line="360" w:lineRule="auto"/>
              <w:jc w:val="both"/>
              <w:rPr>
                <w:sz w:val="28"/>
              </w:rPr>
            </w:pPr>
            <w:r>
              <w:rPr>
                <w:sz w:val="28"/>
              </w:rPr>
              <w:t>32 (21.3%)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67B549A">
            <w:pPr>
              <w:spacing w:line="360" w:lineRule="auto"/>
              <w:jc w:val="both"/>
              <w:rPr>
                <w:sz w:val="28"/>
              </w:rPr>
            </w:pPr>
            <w:r>
              <w:rPr>
                <w:sz w:val="28"/>
              </w:rPr>
              <w:t>&lt;0.001</w:t>
            </w:r>
          </w:p>
        </w:tc>
      </w:tr>
      <w:tr w14:paraId="2A6BF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9411B56">
            <w:pPr>
              <w:spacing w:line="360" w:lineRule="auto"/>
              <w:jc w:val="both"/>
              <w:rPr>
                <w:sz w:val="28"/>
              </w:rPr>
            </w:pPr>
            <w:r>
              <w:rPr>
                <w:sz w:val="28"/>
              </w:rPr>
              <w:t>High triglycerides (≥150 mg/dL),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0545B3C">
            <w:pPr>
              <w:spacing w:line="360" w:lineRule="auto"/>
              <w:jc w:val="both"/>
              <w:rPr>
                <w:sz w:val="28"/>
              </w:rPr>
            </w:pPr>
            <w:r>
              <w:rPr>
                <w:sz w:val="28"/>
              </w:rPr>
              <w:t>99 (66.0%)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CB3290">
            <w:pPr>
              <w:spacing w:line="360" w:lineRule="auto"/>
              <w:jc w:val="both"/>
              <w:rPr>
                <w:sz w:val="28"/>
              </w:rPr>
            </w:pPr>
            <w:r>
              <w:rPr>
                <w:sz w:val="28"/>
              </w:rPr>
              <w:t>53 (35.3%)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FB02CC0">
            <w:pPr>
              <w:spacing w:line="360" w:lineRule="auto"/>
              <w:jc w:val="both"/>
              <w:rPr>
                <w:sz w:val="28"/>
              </w:rPr>
            </w:pPr>
            <w:r>
              <w:rPr>
                <w:sz w:val="28"/>
              </w:rPr>
              <w:t>&lt;0.001</w:t>
            </w:r>
          </w:p>
        </w:tc>
      </w:tr>
      <w:tr w14:paraId="40F05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22FD573">
            <w:pPr>
              <w:spacing w:line="360" w:lineRule="auto"/>
              <w:jc w:val="both"/>
              <w:rPr>
                <w:sz w:val="28"/>
              </w:rPr>
            </w:pPr>
            <w:r>
              <w:rPr>
                <w:sz w:val="28"/>
              </w:rPr>
              <w:t>Overweight/Obese (BMI ≥23.0 kg/m²),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7C90162">
            <w:pPr>
              <w:spacing w:line="360" w:lineRule="auto"/>
              <w:jc w:val="both"/>
              <w:rPr>
                <w:sz w:val="28"/>
              </w:rPr>
            </w:pPr>
            <w:r>
              <w:rPr>
                <w:sz w:val="28"/>
              </w:rPr>
              <w:t>99 (66.0%)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1839A7B">
            <w:pPr>
              <w:spacing w:line="360" w:lineRule="auto"/>
              <w:jc w:val="both"/>
              <w:rPr>
                <w:sz w:val="28"/>
              </w:rPr>
            </w:pPr>
            <w:r>
              <w:rPr>
                <w:sz w:val="28"/>
              </w:rPr>
              <w:t>65 (43.3%)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4939EEE">
            <w:pPr>
              <w:spacing w:line="360" w:lineRule="auto"/>
              <w:jc w:val="both"/>
              <w:rPr>
                <w:sz w:val="28"/>
              </w:rPr>
            </w:pPr>
            <w:r>
              <w:rPr>
                <w:sz w:val="28"/>
              </w:rPr>
              <w:t>&lt;0.001</w:t>
            </w:r>
          </w:p>
        </w:tc>
      </w:tr>
      <w:tr w14:paraId="53257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D9DBC3C">
            <w:pPr>
              <w:spacing w:line="360" w:lineRule="auto"/>
              <w:jc w:val="both"/>
              <w:rPr>
                <w:sz w:val="28"/>
              </w:rPr>
            </w:pPr>
            <w:r>
              <w:rPr>
                <w:sz w:val="28"/>
              </w:rPr>
              <w:t>High fasting glucose (≥100 mg/dL),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E360AF2">
            <w:pPr>
              <w:spacing w:line="360" w:lineRule="auto"/>
              <w:jc w:val="both"/>
              <w:rPr>
                <w:sz w:val="28"/>
              </w:rPr>
            </w:pPr>
            <w:r>
              <w:rPr>
                <w:sz w:val="28"/>
              </w:rPr>
              <w:t>51 (34.0%)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A09C347">
            <w:pPr>
              <w:spacing w:line="360" w:lineRule="auto"/>
              <w:jc w:val="both"/>
              <w:rPr>
                <w:sz w:val="28"/>
              </w:rPr>
            </w:pPr>
            <w:r>
              <w:rPr>
                <w:sz w:val="28"/>
              </w:rPr>
              <w:t>24 (16.0%)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65C5A10">
            <w:pPr>
              <w:spacing w:line="360" w:lineRule="auto"/>
              <w:jc w:val="both"/>
              <w:rPr>
                <w:sz w:val="28"/>
              </w:rPr>
            </w:pPr>
            <w:r>
              <w:rPr>
                <w:sz w:val="28"/>
              </w:rPr>
              <w:t>&lt;0.001</w:t>
            </w:r>
          </w:p>
        </w:tc>
      </w:tr>
      <w:tr w14:paraId="5F303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2719D7E">
            <w:pPr>
              <w:spacing w:line="360" w:lineRule="auto"/>
              <w:jc w:val="both"/>
              <w:rPr>
                <w:sz w:val="28"/>
              </w:rPr>
            </w:pPr>
            <w:r>
              <w:rPr>
                <w:sz w:val="28"/>
              </w:rPr>
              <w:t>High blood pressure (≥130/85 mmHg),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19DA15F">
            <w:pPr>
              <w:spacing w:line="360" w:lineRule="auto"/>
              <w:jc w:val="both"/>
              <w:rPr>
                <w:sz w:val="28"/>
              </w:rPr>
            </w:pPr>
            <w:r>
              <w:rPr>
                <w:sz w:val="28"/>
              </w:rPr>
              <w:t>81 (54.0%)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9B04C69">
            <w:pPr>
              <w:spacing w:line="360" w:lineRule="auto"/>
              <w:jc w:val="both"/>
              <w:rPr>
                <w:sz w:val="28"/>
              </w:rPr>
            </w:pPr>
            <w:r>
              <w:rPr>
                <w:sz w:val="28"/>
              </w:rPr>
              <w:t>53 (35.3%)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5110DFA">
            <w:pPr>
              <w:spacing w:line="360" w:lineRule="auto"/>
              <w:jc w:val="both"/>
              <w:rPr>
                <w:sz w:val="28"/>
              </w:rPr>
            </w:pPr>
            <w:r>
              <w:rPr>
                <w:sz w:val="28"/>
              </w:rPr>
              <w:t>0.001</w:t>
            </w:r>
          </w:p>
        </w:tc>
      </w:tr>
      <w:tr w14:paraId="628B0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4559573">
            <w:pPr>
              <w:spacing w:line="360" w:lineRule="auto"/>
              <w:jc w:val="both"/>
              <w:rPr>
                <w:sz w:val="28"/>
              </w:rPr>
            </w:pPr>
            <w:r>
              <w:rPr>
                <w:sz w:val="28"/>
              </w:rPr>
              <w:t>Low HDL-C (&lt;40/50 mg/dL),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2E271DD">
            <w:pPr>
              <w:spacing w:line="360" w:lineRule="auto"/>
              <w:jc w:val="both"/>
              <w:rPr>
                <w:sz w:val="28"/>
              </w:rPr>
            </w:pPr>
            <w:r>
              <w:rPr>
                <w:sz w:val="28"/>
              </w:rPr>
              <w:t>50 (33.3%)</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2BF29F3">
            <w:pPr>
              <w:spacing w:line="360" w:lineRule="auto"/>
              <w:jc w:val="both"/>
              <w:rPr>
                <w:sz w:val="28"/>
              </w:rPr>
            </w:pPr>
            <w:r>
              <w:rPr>
                <w:sz w:val="28"/>
              </w:rPr>
              <w:t>28 (18.7%)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701CAB7">
            <w:pPr>
              <w:spacing w:line="360" w:lineRule="auto"/>
              <w:jc w:val="both"/>
              <w:rPr>
                <w:sz w:val="28"/>
              </w:rPr>
            </w:pPr>
            <w:r>
              <w:rPr>
                <w:sz w:val="28"/>
              </w:rPr>
              <w:t>0.002</w:t>
            </w:r>
          </w:p>
        </w:tc>
      </w:tr>
      <w:tr w14:paraId="1BAE8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F5218BF">
            <w:pPr>
              <w:spacing w:line="360" w:lineRule="auto"/>
              <w:jc w:val="both"/>
              <w:rPr>
                <w:sz w:val="28"/>
              </w:rPr>
            </w:pPr>
            <w:r>
              <w:rPr>
                <w:sz w:val="28"/>
              </w:rPr>
              <w:t>High waist circumference, n (%)</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C727D72">
            <w:pPr>
              <w:spacing w:line="360" w:lineRule="auto"/>
              <w:jc w:val="both"/>
              <w:rPr>
                <w:sz w:val="28"/>
              </w:rPr>
            </w:pPr>
            <w:r>
              <w:rPr>
                <w:sz w:val="28"/>
              </w:rPr>
              <w:t>63 (42.0%)</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FE95BB3">
            <w:pPr>
              <w:spacing w:line="360" w:lineRule="auto"/>
              <w:jc w:val="both"/>
              <w:rPr>
                <w:sz w:val="28"/>
              </w:rPr>
            </w:pPr>
            <w:r>
              <w:rPr>
                <w:sz w:val="28"/>
              </w:rPr>
              <w:t>49 (32.7%)</w:t>
            </w:r>
          </w:p>
        </w:tc>
        <w:tc>
          <w:tcPr>
            <w:tcW w:w="20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E19B614">
            <w:pPr>
              <w:spacing w:line="360" w:lineRule="auto"/>
              <w:jc w:val="both"/>
              <w:rPr>
                <w:sz w:val="28"/>
              </w:rPr>
            </w:pPr>
            <w:r>
              <w:rPr>
                <w:sz w:val="28"/>
              </w:rPr>
              <w:t>0.080</w:t>
            </w:r>
          </w:p>
        </w:tc>
      </w:tr>
    </w:tbl>
    <w:p w14:paraId="06E827B0">
      <w:pPr>
        <w:spacing w:before="80" w:after="160" w:line="360" w:lineRule="auto"/>
        <w:jc w:val="both"/>
        <w:rPr>
          <w:iCs/>
          <w:sz w:val="28"/>
        </w:rPr>
      </w:pPr>
      <w:r>
        <w:rPr>
          <w:iCs/>
          <w:sz w:val="28"/>
        </w:rPr>
        <w:t>Table 4.4: Prevalence of Metabolic Syndrome and Individual Components</w:t>
      </w:r>
    </w:p>
    <w:p w14:paraId="14CE42FD">
      <w:pPr>
        <w:spacing w:after="160" w:line="360" w:lineRule="auto"/>
        <w:jc w:val="both"/>
        <w:rPr>
          <w:sz w:val="28"/>
        </w:rPr>
      </w:pPr>
      <w:r>
        <w:rPr>
          <w:sz w:val="28"/>
        </w:rPr>
        <w:t>Metabolic syndrome was significantly more prevalent in psoriasis patients (39.3%) than in controls (21.3%; p &lt; 0.001). All five metabolic syndrome components showed higher prevalence in the case group, with statistical significance achieved for four of five components. High triglycerides (66.0% vs. 35.3%) and overweight/obesity (66.0% vs. 43.3%) showed the highest absolute differences. Elevated waist circumference was the only component that did not reach statistical significance (42.0% vs. 32.7%; p = 0.08).</w:t>
      </w:r>
    </w:p>
    <w:p w14:paraId="50897AD2">
      <w:pPr>
        <w:spacing w:after="160" w:line="360" w:lineRule="auto"/>
        <w:jc w:val="both"/>
        <w:rPr>
          <w:sz w:val="28"/>
        </w:rPr>
      </w:pPr>
      <w:r>
        <w:drawing>
          <wp:inline distT="0" distB="0" distL="0" distR="0">
            <wp:extent cx="5715000" cy="325564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a:srcRect/>
                    <a:stretch>
                      <a:fillRect/>
                    </a:stretch>
                  </pic:blipFill>
                  <pic:spPr>
                    <a:xfrm>
                      <a:off x="0" y="0"/>
                      <a:ext cx="5715000" cy="3255818"/>
                    </a:xfrm>
                    <a:prstGeom prst="rect">
                      <a:avLst/>
                    </a:prstGeom>
                  </pic:spPr>
                </pic:pic>
              </a:graphicData>
            </a:graphic>
          </wp:inline>
        </w:drawing>
      </w:r>
    </w:p>
    <w:p w14:paraId="185DE8E5">
      <w:pPr>
        <w:spacing w:after="160" w:line="360" w:lineRule="auto"/>
        <w:jc w:val="both"/>
        <w:rPr>
          <w:iCs/>
          <w:sz w:val="28"/>
        </w:rPr>
      </w:pPr>
      <w:r>
        <w:rPr>
          <w:iCs/>
          <w:sz w:val="22"/>
        </w:rPr>
        <w:t>Figure 4.1: Prevalence of Metabolic Syndrome (Overall) and Each of Its Five Components in Psoriasis Cases (n=150, dark blue) and Controls (n=150, gold). Cases consistently and significantly exceed controls for all components except waist circumference (p = 0.08, NS). *** = p &lt; 0.001; ns = not significant. TG = triglycerides; HDL-C = high-density lipoprotein cholesterol; BP = blood pressure; WC = waist circumference.</w:t>
      </w:r>
    </w:p>
    <w:p w14:paraId="03CB71DF">
      <w:pPr>
        <w:pStyle w:val="3"/>
        <w:spacing w:line="360" w:lineRule="auto"/>
        <w:jc w:val="both"/>
        <w:rPr>
          <w:sz w:val="28"/>
        </w:rPr>
      </w:pPr>
      <w:bookmarkStart w:id="67" w:name="__RefHeading___91888"/>
      <w:bookmarkEnd w:id="67"/>
      <w:r>
        <w:rPr>
          <w:sz w:val="28"/>
        </w:rPr>
        <w:t>4.5 Odds Ratio Analysis</w:t>
      </w:r>
    </w:p>
    <w:p w14:paraId="2DFD8BB7">
      <w:pPr>
        <w:spacing w:after="160" w:line="360" w:lineRule="auto"/>
        <w:jc w:val="both"/>
        <w:rPr>
          <w:sz w:val="28"/>
        </w:rPr>
      </w:pPr>
      <w:r>
        <w:rPr>
          <w:sz w:val="28"/>
        </w:rPr>
        <w:t>Table 4.5 presents the crude (unadjusted) odds ratios for each individual component of metabolic syndrome.</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23"/>
        <w:gridCol w:w="1385"/>
        <w:gridCol w:w="1385"/>
        <w:gridCol w:w="2423"/>
        <w:gridCol w:w="1385"/>
      </w:tblGrid>
      <w:tr w14:paraId="32BC3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2423"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7FEA9305">
            <w:pPr>
              <w:spacing w:line="360" w:lineRule="auto"/>
              <w:jc w:val="both"/>
              <w:rPr>
                <w:sz w:val="28"/>
              </w:rPr>
            </w:pPr>
            <w:r>
              <w:rPr>
                <w:b/>
                <w:sz w:val="28"/>
              </w:rPr>
              <w:t>MetS Component</w:t>
            </w:r>
          </w:p>
        </w:tc>
        <w:tc>
          <w:tcPr>
            <w:tcW w:w="1385"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5D873DD8">
            <w:pPr>
              <w:spacing w:line="360" w:lineRule="auto"/>
              <w:jc w:val="both"/>
              <w:rPr>
                <w:sz w:val="28"/>
              </w:rPr>
            </w:pPr>
            <w:r>
              <w:rPr>
                <w:b/>
                <w:sz w:val="28"/>
              </w:rPr>
              <w:t>Cases (%)</w:t>
            </w:r>
          </w:p>
        </w:tc>
        <w:tc>
          <w:tcPr>
            <w:tcW w:w="1385"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95E54F9">
            <w:pPr>
              <w:spacing w:line="360" w:lineRule="auto"/>
              <w:jc w:val="both"/>
              <w:rPr>
                <w:sz w:val="28"/>
              </w:rPr>
            </w:pPr>
            <w:r>
              <w:rPr>
                <w:b/>
                <w:sz w:val="28"/>
              </w:rPr>
              <w:t>Controls (%)</w:t>
            </w:r>
          </w:p>
        </w:tc>
        <w:tc>
          <w:tcPr>
            <w:tcW w:w="2423"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3883864C">
            <w:pPr>
              <w:spacing w:line="360" w:lineRule="auto"/>
              <w:jc w:val="both"/>
              <w:rPr>
                <w:sz w:val="28"/>
              </w:rPr>
            </w:pPr>
            <w:r>
              <w:rPr>
                <w:b/>
                <w:sz w:val="28"/>
              </w:rPr>
              <w:t>Crude OR (95% CI)</w:t>
            </w:r>
          </w:p>
        </w:tc>
        <w:tc>
          <w:tcPr>
            <w:tcW w:w="1385"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099A0795">
            <w:pPr>
              <w:spacing w:line="360" w:lineRule="auto"/>
              <w:jc w:val="both"/>
              <w:rPr>
                <w:sz w:val="28"/>
              </w:rPr>
            </w:pPr>
            <w:r>
              <w:rPr>
                <w:b/>
                <w:sz w:val="28"/>
              </w:rPr>
              <w:t>p-value</w:t>
            </w:r>
          </w:p>
        </w:tc>
      </w:tr>
      <w:tr w14:paraId="29F56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14F2A41">
            <w:pPr>
              <w:spacing w:line="360" w:lineRule="auto"/>
              <w:jc w:val="both"/>
              <w:rPr>
                <w:sz w:val="28"/>
              </w:rPr>
            </w:pPr>
            <w:r>
              <w:rPr>
                <w:sz w:val="28"/>
              </w:rPr>
              <w:t>High triglycerides</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DC782FD">
            <w:pPr>
              <w:spacing w:line="360" w:lineRule="auto"/>
              <w:jc w:val="both"/>
              <w:rPr>
                <w:sz w:val="28"/>
              </w:rPr>
            </w:pPr>
            <w:r>
              <w:rPr>
                <w:sz w:val="28"/>
              </w:rPr>
              <w:t>66.0%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B2DF0BA">
            <w:pPr>
              <w:spacing w:line="360" w:lineRule="auto"/>
              <w:jc w:val="both"/>
              <w:rPr>
                <w:sz w:val="28"/>
              </w:rPr>
            </w:pPr>
            <w:r>
              <w:rPr>
                <w:sz w:val="28"/>
              </w:rPr>
              <w:t>35.3%</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51E47B6">
            <w:pPr>
              <w:spacing w:line="360" w:lineRule="auto"/>
              <w:jc w:val="both"/>
              <w:rPr>
                <w:sz w:val="28"/>
              </w:rPr>
            </w:pPr>
            <w:r>
              <w:rPr>
                <w:sz w:val="28"/>
              </w:rPr>
              <w:t>3.58 (2.18–5.90)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6D3C4E4">
            <w:pPr>
              <w:spacing w:line="360" w:lineRule="auto"/>
              <w:jc w:val="both"/>
              <w:rPr>
                <w:sz w:val="28"/>
              </w:rPr>
            </w:pPr>
            <w:r>
              <w:rPr>
                <w:sz w:val="28"/>
              </w:rPr>
              <w:t>&lt;0.001</w:t>
            </w:r>
          </w:p>
        </w:tc>
      </w:tr>
      <w:tr w14:paraId="125E8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7B71138">
            <w:pPr>
              <w:spacing w:line="360" w:lineRule="auto"/>
              <w:jc w:val="both"/>
              <w:rPr>
                <w:sz w:val="28"/>
              </w:rPr>
            </w:pPr>
            <w:r>
              <w:rPr>
                <w:sz w:val="28"/>
              </w:rPr>
              <w:t>High fasting glucose</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AAE4E7F">
            <w:pPr>
              <w:spacing w:line="360" w:lineRule="auto"/>
              <w:jc w:val="both"/>
              <w:rPr>
                <w:sz w:val="28"/>
              </w:rPr>
            </w:pPr>
            <w:r>
              <w:rPr>
                <w:sz w:val="28"/>
              </w:rPr>
              <w:t>34.0%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19281CD">
            <w:pPr>
              <w:spacing w:line="360" w:lineRule="auto"/>
              <w:jc w:val="both"/>
              <w:rPr>
                <w:sz w:val="28"/>
              </w:rPr>
            </w:pPr>
            <w:r>
              <w:rPr>
                <w:sz w:val="28"/>
              </w:rPr>
              <w:t>16.0%</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3206DD0">
            <w:pPr>
              <w:spacing w:line="360" w:lineRule="auto"/>
              <w:jc w:val="both"/>
              <w:rPr>
                <w:sz w:val="28"/>
              </w:rPr>
            </w:pPr>
            <w:r>
              <w:rPr>
                <w:sz w:val="28"/>
              </w:rPr>
              <w:t>2.70 (1.53–4.78)</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1AD66EC">
            <w:pPr>
              <w:spacing w:line="360" w:lineRule="auto"/>
              <w:jc w:val="both"/>
              <w:rPr>
                <w:sz w:val="28"/>
              </w:rPr>
            </w:pPr>
            <w:r>
              <w:rPr>
                <w:sz w:val="28"/>
              </w:rPr>
              <w:t>&lt;0.001</w:t>
            </w:r>
          </w:p>
        </w:tc>
      </w:tr>
      <w:tr w14:paraId="35CCC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8621E91">
            <w:pPr>
              <w:spacing w:line="360" w:lineRule="auto"/>
              <w:jc w:val="both"/>
              <w:rPr>
                <w:sz w:val="28"/>
              </w:rPr>
            </w:pPr>
            <w:r>
              <w:rPr>
                <w:sz w:val="28"/>
              </w:rPr>
              <w:t>Overweight/Obesity</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00DC6C8">
            <w:pPr>
              <w:spacing w:line="360" w:lineRule="auto"/>
              <w:jc w:val="both"/>
              <w:rPr>
                <w:sz w:val="28"/>
              </w:rPr>
            </w:pPr>
            <w:r>
              <w:rPr>
                <w:sz w:val="28"/>
              </w:rPr>
              <w:t>66.0%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FB5932C">
            <w:pPr>
              <w:spacing w:line="360" w:lineRule="auto"/>
              <w:jc w:val="both"/>
              <w:rPr>
                <w:sz w:val="28"/>
              </w:rPr>
            </w:pPr>
            <w:r>
              <w:rPr>
                <w:sz w:val="28"/>
              </w:rPr>
              <w:t>43.3%</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69B2F91">
            <w:pPr>
              <w:spacing w:line="360" w:lineRule="auto"/>
              <w:jc w:val="both"/>
              <w:rPr>
                <w:sz w:val="28"/>
              </w:rPr>
            </w:pPr>
            <w:r>
              <w:rPr>
                <w:sz w:val="28"/>
              </w:rPr>
              <w:t>2.58 (1.59–4.18)</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52A469C">
            <w:pPr>
              <w:spacing w:line="360" w:lineRule="auto"/>
              <w:jc w:val="both"/>
              <w:rPr>
                <w:sz w:val="28"/>
              </w:rPr>
            </w:pPr>
            <w:r>
              <w:rPr>
                <w:sz w:val="28"/>
              </w:rPr>
              <w:t>&lt;0.001</w:t>
            </w:r>
          </w:p>
        </w:tc>
      </w:tr>
      <w:tr w14:paraId="2E900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5A9031A">
            <w:pPr>
              <w:spacing w:line="360" w:lineRule="auto"/>
              <w:jc w:val="both"/>
              <w:rPr>
                <w:sz w:val="28"/>
              </w:rPr>
            </w:pPr>
            <w:r>
              <w:rPr>
                <w:sz w:val="28"/>
              </w:rPr>
              <w:t>Low HDL-C</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FA8B283">
            <w:pPr>
              <w:spacing w:line="360" w:lineRule="auto"/>
              <w:jc w:val="both"/>
              <w:rPr>
                <w:sz w:val="28"/>
              </w:rPr>
            </w:pPr>
            <w:r>
              <w:rPr>
                <w:sz w:val="28"/>
              </w:rPr>
              <w:t>33.3%</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51F6296">
            <w:pPr>
              <w:spacing w:line="360" w:lineRule="auto"/>
              <w:jc w:val="both"/>
              <w:rPr>
                <w:sz w:val="28"/>
              </w:rPr>
            </w:pPr>
            <w:r>
              <w:rPr>
                <w:sz w:val="28"/>
              </w:rPr>
              <w:t>18.7%</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5022511">
            <w:pPr>
              <w:spacing w:line="360" w:lineRule="auto"/>
              <w:jc w:val="both"/>
              <w:rPr>
                <w:sz w:val="28"/>
              </w:rPr>
            </w:pPr>
            <w:r>
              <w:rPr>
                <w:sz w:val="28"/>
              </w:rPr>
              <w:t>2.18 (1.28–3.70)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58BB09D">
            <w:pPr>
              <w:spacing w:line="360" w:lineRule="auto"/>
              <w:jc w:val="both"/>
              <w:rPr>
                <w:sz w:val="28"/>
              </w:rPr>
            </w:pPr>
            <w:r>
              <w:rPr>
                <w:sz w:val="28"/>
              </w:rPr>
              <w:t>0.002</w:t>
            </w:r>
          </w:p>
        </w:tc>
      </w:tr>
      <w:tr w14:paraId="4B75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97F8E1E">
            <w:pPr>
              <w:spacing w:line="360" w:lineRule="auto"/>
              <w:jc w:val="both"/>
              <w:rPr>
                <w:sz w:val="28"/>
              </w:rPr>
            </w:pPr>
            <w:r>
              <w:rPr>
                <w:sz w:val="28"/>
              </w:rPr>
              <w:t>High blood pressure</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6463C9B">
            <w:pPr>
              <w:spacing w:line="360" w:lineRule="auto"/>
              <w:jc w:val="both"/>
              <w:rPr>
                <w:sz w:val="28"/>
              </w:rPr>
            </w:pPr>
            <w:r>
              <w:rPr>
                <w:sz w:val="28"/>
              </w:rPr>
              <w:t>54.0%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84BFB45">
            <w:pPr>
              <w:spacing w:line="360" w:lineRule="auto"/>
              <w:jc w:val="both"/>
              <w:rPr>
                <w:sz w:val="28"/>
              </w:rPr>
            </w:pPr>
            <w:r>
              <w:rPr>
                <w:sz w:val="28"/>
              </w:rPr>
              <w:t>35.3%</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960E15B">
            <w:pPr>
              <w:spacing w:line="360" w:lineRule="auto"/>
              <w:jc w:val="both"/>
              <w:rPr>
                <w:sz w:val="28"/>
              </w:rPr>
            </w:pPr>
            <w:r>
              <w:rPr>
                <w:sz w:val="28"/>
              </w:rPr>
              <w:t>2.15 (1.36–3.41)</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7E90F4D">
            <w:pPr>
              <w:spacing w:line="360" w:lineRule="auto"/>
              <w:jc w:val="both"/>
              <w:rPr>
                <w:sz w:val="28"/>
              </w:rPr>
            </w:pPr>
            <w:r>
              <w:rPr>
                <w:sz w:val="28"/>
              </w:rPr>
              <w:t>0.001</w:t>
            </w:r>
          </w:p>
        </w:tc>
      </w:tr>
      <w:tr w14:paraId="6D00B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2874592">
            <w:pPr>
              <w:spacing w:line="360" w:lineRule="auto"/>
              <w:jc w:val="both"/>
              <w:rPr>
                <w:sz w:val="28"/>
              </w:rPr>
            </w:pPr>
            <w:r>
              <w:rPr>
                <w:sz w:val="28"/>
              </w:rPr>
              <w:t>High waist circumference</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5FC4D23">
            <w:pPr>
              <w:spacing w:line="360" w:lineRule="auto"/>
              <w:jc w:val="both"/>
              <w:rPr>
                <w:sz w:val="28"/>
              </w:rPr>
            </w:pPr>
            <w:r>
              <w:rPr>
                <w:sz w:val="28"/>
              </w:rPr>
              <w:t>42.0%</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AB52514">
            <w:pPr>
              <w:spacing w:line="360" w:lineRule="auto"/>
              <w:jc w:val="both"/>
              <w:rPr>
                <w:sz w:val="28"/>
              </w:rPr>
            </w:pPr>
            <w:r>
              <w:rPr>
                <w:sz w:val="28"/>
              </w:rPr>
              <w:t>32.7%</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54B5C89">
            <w:pPr>
              <w:spacing w:line="360" w:lineRule="auto"/>
              <w:jc w:val="both"/>
              <w:rPr>
                <w:sz w:val="28"/>
              </w:rPr>
            </w:pPr>
            <w:r>
              <w:rPr>
                <w:sz w:val="28"/>
              </w:rPr>
              <w:t>1.49 (0.93–2.38)</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AA65C5E">
            <w:pPr>
              <w:spacing w:line="360" w:lineRule="auto"/>
              <w:jc w:val="both"/>
              <w:rPr>
                <w:sz w:val="28"/>
              </w:rPr>
            </w:pPr>
            <w:r>
              <w:rPr>
                <w:sz w:val="28"/>
              </w:rPr>
              <w:t>0.080</w:t>
            </w:r>
          </w:p>
        </w:tc>
      </w:tr>
      <w:tr w14:paraId="774C2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51A05E8">
            <w:pPr>
              <w:spacing w:line="360" w:lineRule="auto"/>
              <w:jc w:val="both"/>
              <w:rPr>
                <w:sz w:val="28"/>
              </w:rPr>
            </w:pPr>
            <w:r>
              <w:rPr>
                <w:sz w:val="28"/>
              </w:rPr>
              <w:t>Overall MetS (≥3 components)</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4D80C48">
            <w:pPr>
              <w:spacing w:line="360" w:lineRule="auto"/>
              <w:jc w:val="both"/>
              <w:rPr>
                <w:sz w:val="28"/>
              </w:rPr>
            </w:pPr>
            <w:r>
              <w:rPr>
                <w:sz w:val="28"/>
              </w:rPr>
              <w:t>39.3%</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A01B63E">
            <w:pPr>
              <w:spacing w:line="360" w:lineRule="auto"/>
              <w:jc w:val="both"/>
              <w:rPr>
                <w:sz w:val="28"/>
              </w:rPr>
            </w:pPr>
            <w:r>
              <w:rPr>
                <w:sz w:val="28"/>
              </w:rPr>
              <w:t>21.3%</w:t>
            </w:r>
          </w:p>
        </w:tc>
        <w:tc>
          <w:tcPr>
            <w:tcW w:w="2423"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8C18ED6">
            <w:pPr>
              <w:spacing w:line="360" w:lineRule="auto"/>
              <w:jc w:val="both"/>
              <w:rPr>
                <w:sz w:val="28"/>
              </w:rPr>
            </w:pPr>
            <w:r>
              <w:rPr>
                <w:sz w:val="28"/>
              </w:rPr>
              <w:t>2.42 (1.47–3.98)</w:t>
            </w:r>
          </w:p>
        </w:tc>
        <w:tc>
          <w:tcPr>
            <w:tcW w:w="138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B402B33">
            <w:pPr>
              <w:spacing w:line="360" w:lineRule="auto"/>
              <w:jc w:val="both"/>
              <w:rPr>
                <w:sz w:val="28"/>
              </w:rPr>
            </w:pPr>
            <w:r>
              <w:rPr>
                <w:sz w:val="28"/>
              </w:rPr>
              <w:t>&lt;0.001</w:t>
            </w:r>
          </w:p>
        </w:tc>
      </w:tr>
    </w:tbl>
    <w:p w14:paraId="4F9DDCE2">
      <w:pPr>
        <w:spacing w:before="80" w:after="160" w:line="360" w:lineRule="auto"/>
        <w:jc w:val="both"/>
        <w:rPr>
          <w:iCs/>
          <w:sz w:val="28"/>
        </w:rPr>
      </w:pPr>
      <w:r>
        <w:rPr>
          <w:iCs/>
          <w:sz w:val="28"/>
        </w:rPr>
        <w:t>Table 4.5: Bivariate Analysis — Individual MetS Components in Cases vs. Controls</w:t>
      </w:r>
    </w:p>
    <w:p w14:paraId="20589E15">
      <w:pPr>
        <w:spacing w:after="160" w:line="360" w:lineRule="auto"/>
        <w:jc w:val="both"/>
        <w:rPr>
          <w:sz w:val="28"/>
        </w:rPr>
      </w:pPr>
      <w:r>
        <w:rPr>
          <w:sz w:val="28"/>
        </w:rPr>
        <w:t>The crude OR for overall metabolic syndrome was 2.42 (95% CI: 1.47–3.98; p &lt; 0.001). Among individual components, hypertriglyceridaemia demonstrated the strongest association (OR = 3.58; 95% CI: 2.18–5.90), followed by elevated fasting glucose (OR = 2.70), overweight/obesity (OR = 2.58), low HDL-C (OR = 2.18), and hypertension (OR = 2.15). Elevated waist circumference was the only component with a non-significant crude OR (1.49; p = 0.08).</w:t>
      </w:r>
    </w:p>
    <w:p w14:paraId="18B5764A">
      <w:pPr>
        <w:spacing w:after="160" w:line="360" w:lineRule="auto"/>
        <w:jc w:val="both"/>
        <w:rPr>
          <w:sz w:val="28"/>
        </w:rPr>
      </w:pPr>
      <w:r>
        <w:drawing>
          <wp:inline distT="0" distB="0" distL="0" distR="0">
            <wp:extent cx="5715000" cy="325564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srcRect/>
                    <a:stretch>
                      <a:fillRect/>
                    </a:stretch>
                  </pic:blipFill>
                  <pic:spPr>
                    <a:xfrm>
                      <a:off x="0" y="0"/>
                      <a:ext cx="5715000" cy="3255818"/>
                    </a:xfrm>
                    <a:prstGeom prst="rect">
                      <a:avLst/>
                    </a:prstGeom>
                  </pic:spPr>
                </pic:pic>
              </a:graphicData>
            </a:graphic>
          </wp:inline>
        </w:drawing>
      </w:r>
    </w:p>
    <w:p w14:paraId="0F7B15FE">
      <w:pPr>
        <w:spacing w:before="80" w:after="200"/>
        <w:jc w:val="center"/>
        <w:rPr>
          <w:iCs/>
        </w:rPr>
      </w:pPr>
      <w:r>
        <w:rPr>
          <w:iCs/>
          <w:sz w:val="22"/>
        </w:rPr>
        <w:t>Figure 4.3: Forest Plot — Crude Odds Ratios (95% CIs) for Metabolic Syndrome Components in Psoriasis Cases vs. Controls. Diamond = point estimate; bar = 95% CI. Red dashed line = OR 1.0. High triglycerides (OR = 3.58) and elevated fasting glucose (OR = 2.70) show the strongest associations. All components except high waist circumference are statistically significant (p &lt; 0.05). *** = p &lt; 0.001; ns = not significant.</w:t>
      </w:r>
    </w:p>
    <w:p w14:paraId="3D828059">
      <w:pPr>
        <w:spacing w:after="160" w:line="360" w:lineRule="auto"/>
        <w:jc w:val="both"/>
        <w:rPr>
          <w:sz w:val="28"/>
        </w:rPr>
      </w:pPr>
    </w:p>
    <w:p w14:paraId="2FACD74C">
      <w:pPr>
        <w:pStyle w:val="3"/>
        <w:spacing w:line="360" w:lineRule="auto"/>
        <w:jc w:val="both"/>
        <w:rPr>
          <w:sz w:val="28"/>
        </w:rPr>
      </w:pPr>
      <w:bookmarkStart w:id="68" w:name="__RefHeading___91889"/>
      <w:bookmarkEnd w:id="68"/>
      <w:r>
        <w:rPr>
          <w:sz w:val="28"/>
        </w:rPr>
        <w:t>4.6 Multivariate Logistic Regression</w:t>
      </w:r>
    </w:p>
    <w:p w14:paraId="19C91C6F">
      <w:pPr>
        <w:spacing w:after="160" w:line="360" w:lineRule="auto"/>
        <w:jc w:val="both"/>
        <w:rPr>
          <w:sz w:val="28"/>
        </w:rPr>
      </w:pPr>
      <w:r>
        <w:rPr>
          <w:sz w:val="28"/>
        </w:rPr>
        <w:t>Table 4.6 presents the results of the multivariate logistic regression model for overall metabolic syndrome, adjusted for age, sex, and physical activity.</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75"/>
        <w:gridCol w:w="2250"/>
        <w:gridCol w:w="2250"/>
        <w:gridCol w:w="1125"/>
      </w:tblGrid>
      <w:tr w14:paraId="1301E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3375"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A0FD0D3">
            <w:pPr>
              <w:spacing w:line="360" w:lineRule="auto"/>
              <w:jc w:val="both"/>
              <w:rPr>
                <w:sz w:val="28"/>
              </w:rPr>
            </w:pPr>
            <w:r>
              <w:rPr>
                <w:b/>
                <w:sz w:val="28"/>
              </w:rPr>
              <w:t>Variable</w:t>
            </w:r>
          </w:p>
        </w:tc>
        <w:tc>
          <w:tcPr>
            <w:tcW w:w="225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01063AF6">
            <w:pPr>
              <w:spacing w:line="360" w:lineRule="auto"/>
              <w:jc w:val="both"/>
              <w:rPr>
                <w:sz w:val="28"/>
              </w:rPr>
            </w:pPr>
            <w:r>
              <w:rPr>
                <w:b/>
                <w:sz w:val="28"/>
              </w:rPr>
              <w:t>Adjusted OR (AOR)</w:t>
            </w:r>
          </w:p>
        </w:tc>
        <w:tc>
          <w:tcPr>
            <w:tcW w:w="225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6871828D">
            <w:pPr>
              <w:spacing w:line="360" w:lineRule="auto"/>
              <w:jc w:val="both"/>
              <w:rPr>
                <w:sz w:val="28"/>
              </w:rPr>
            </w:pPr>
            <w:r>
              <w:rPr>
                <w:b/>
                <w:sz w:val="28"/>
              </w:rPr>
              <w:t>95% CI</w:t>
            </w:r>
          </w:p>
        </w:tc>
        <w:tc>
          <w:tcPr>
            <w:tcW w:w="1125"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FB81ABF">
            <w:pPr>
              <w:spacing w:line="360" w:lineRule="auto"/>
              <w:jc w:val="both"/>
              <w:rPr>
                <w:sz w:val="28"/>
              </w:rPr>
            </w:pPr>
            <w:r>
              <w:rPr>
                <w:b/>
                <w:sz w:val="28"/>
              </w:rPr>
              <w:t>p-value</w:t>
            </w:r>
          </w:p>
        </w:tc>
      </w:tr>
      <w:tr w14:paraId="6F954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7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D1A1CD9">
            <w:pPr>
              <w:spacing w:line="360" w:lineRule="auto"/>
              <w:jc w:val="both"/>
              <w:rPr>
                <w:sz w:val="28"/>
              </w:rPr>
            </w:pPr>
            <w:r>
              <w:rPr>
                <w:sz w:val="28"/>
              </w:rPr>
              <w:t>Psoriasis (vs. control)</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3CD0F7BB">
            <w:pPr>
              <w:spacing w:line="360" w:lineRule="auto"/>
              <w:jc w:val="both"/>
              <w:rPr>
                <w:sz w:val="28"/>
              </w:rPr>
            </w:pPr>
            <w:r>
              <w:rPr>
                <w:sz w:val="28"/>
              </w:rPr>
              <w:t>2.18</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F331413">
            <w:pPr>
              <w:spacing w:line="360" w:lineRule="auto"/>
              <w:jc w:val="both"/>
              <w:rPr>
                <w:sz w:val="28"/>
              </w:rPr>
            </w:pPr>
            <w:r>
              <w:rPr>
                <w:sz w:val="28"/>
              </w:rPr>
              <w:t>1.30–3.66</w:t>
            </w:r>
          </w:p>
        </w:tc>
        <w:tc>
          <w:tcPr>
            <w:tcW w:w="112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E933183">
            <w:pPr>
              <w:spacing w:line="360" w:lineRule="auto"/>
              <w:jc w:val="both"/>
              <w:rPr>
                <w:sz w:val="28"/>
              </w:rPr>
            </w:pPr>
            <w:r>
              <w:rPr>
                <w:sz w:val="28"/>
              </w:rPr>
              <w:t>0.003</w:t>
            </w:r>
          </w:p>
        </w:tc>
      </w:tr>
      <w:tr w14:paraId="00075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7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C7DD093">
            <w:pPr>
              <w:spacing w:line="360" w:lineRule="auto"/>
              <w:jc w:val="both"/>
              <w:rPr>
                <w:sz w:val="28"/>
              </w:rPr>
            </w:pPr>
            <w:r>
              <w:rPr>
                <w:sz w:val="28"/>
              </w:rPr>
              <w:t>Age (per 1-year increase)</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B3BDE4D">
            <w:pPr>
              <w:spacing w:line="360" w:lineRule="auto"/>
              <w:jc w:val="both"/>
              <w:rPr>
                <w:sz w:val="28"/>
              </w:rPr>
            </w:pPr>
            <w:r>
              <w:rPr>
                <w:sz w:val="28"/>
              </w:rPr>
              <w:t>1.05</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B0E5B3D">
            <w:pPr>
              <w:spacing w:line="360" w:lineRule="auto"/>
              <w:jc w:val="both"/>
              <w:rPr>
                <w:sz w:val="28"/>
              </w:rPr>
            </w:pPr>
            <w:r>
              <w:rPr>
                <w:sz w:val="28"/>
              </w:rPr>
              <w:t>1.03–1.07</w:t>
            </w:r>
          </w:p>
        </w:tc>
        <w:tc>
          <w:tcPr>
            <w:tcW w:w="112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3C6B755">
            <w:pPr>
              <w:spacing w:line="360" w:lineRule="auto"/>
              <w:jc w:val="both"/>
              <w:rPr>
                <w:sz w:val="28"/>
              </w:rPr>
            </w:pPr>
            <w:r>
              <w:rPr>
                <w:sz w:val="28"/>
              </w:rPr>
              <w:t>&lt;0.001</w:t>
            </w:r>
          </w:p>
        </w:tc>
      </w:tr>
      <w:tr w14:paraId="08577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7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71094C7">
            <w:pPr>
              <w:spacing w:line="360" w:lineRule="auto"/>
              <w:jc w:val="both"/>
              <w:rPr>
                <w:sz w:val="28"/>
              </w:rPr>
            </w:pPr>
            <w:r>
              <w:rPr>
                <w:sz w:val="28"/>
              </w:rPr>
              <w:t>Sex (male vs. female)</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6F9BF93">
            <w:pPr>
              <w:spacing w:line="360" w:lineRule="auto"/>
              <w:jc w:val="both"/>
              <w:rPr>
                <w:sz w:val="28"/>
              </w:rPr>
            </w:pPr>
            <w:r>
              <w:rPr>
                <w:sz w:val="28"/>
              </w:rPr>
              <w:t>1.12</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EBCB15C">
            <w:pPr>
              <w:spacing w:line="360" w:lineRule="auto"/>
              <w:jc w:val="both"/>
              <w:rPr>
                <w:sz w:val="28"/>
              </w:rPr>
            </w:pPr>
            <w:r>
              <w:rPr>
                <w:sz w:val="28"/>
              </w:rPr>
              <w:t>0.71–1.77</w:t>
            </w:r>
          </w:p>
        </w:tc>
        <w:tc>
          <w:tcPr>
            <w:tcW w:w="112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8D23FBC">
            <w:pPr>
              <w:spacing w:line="360" w:lineRule="auto"/>
              <w:jc w:val="both"/>
              <w:rPr>
                <w:sz w:val="28"/>
              </w:rPr>
            </w:pPr>
            <w:r>
              <w:rPr>
                <w:sz w:val="28"/>
              </w:rPr>
              <w:t>0.630</w:t>
            </w:r>
          </w:p>
        </w:tc>
      </w:tr>
      <w:tr w14:paraId="1F3DB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37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CEDCE23">
            <w:pPr>
              <w:spacing w:line="360" w:lineRule="auto"/>
              <w:jc w:val="both"/>
              <w:rPr>
                <w:sz w:val="28"/>
              </w:rPr>
            </w:pPr>
            <w:r>
              <w:rPr>
                <w:sz w:val="28"/>
              </w:rPr>
              <w:t>Physical activity (yes vs. no)</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D5D33DE">
            <w:pPr>
              <w:spacing w:line="360" w:lineRule="auto"/>
              <w:jc w:val="both"/>
              <w:rPr>
                <w:sz w:val="28"/>
              </w:rPr>
            </w:pPr>
            <w:r>
              <w:rPr>
                <w:sz w:val="28"/>
              </w:rPr>
              <w:t>0.58</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7D6C0F1">
            <w:pPr>
              <w:spacing w:line="360" w:lineRule="auto"/>
              <w:jc w:val="both"/>
              <w:rPr>
                <w:sz w:val="28"/>
              </w:rPr>
            </w:pPr>
            <w:r>
              <w:rPr>
                <w:sz w:val="28"/>
              </w:rPr>
              <w:t>0.32–1.05</w:t>
            </w:r>
          </w:p>
        </w:tc>
        <w:tc>
          <w:tcPr>
            <w:tcW w:w="1125"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398C7DE">
            <w:pPr>
              <w:spacing w:line="360" w:lineRule="auto"/>
              <w:jc w:val="both"/>
              <w:rPr>
                <w:sz w:val="28"/>
              </w:rPr>
            </w:pPr>
            <w:r>
              <w:rPr>
                <w:sz w:val="28"/>
              </w:rPr>
              <w:t>0.070</w:t>
            </w:r>
          </w:p>
        </w:tc>
      </w:tr>
    </w:tbl>
    <w:p w14:paraId="612405B0">
      <w:pPr>
        <w:spacing w:before="80" w:after="160" w:line="360" w:lineRule="auto"/>
        <w:jc w:val="both"/>
        <w:rPr>
          <w:iCs/>
          <w:sz w:val="28"/>
        </w:rPr>
      </w:pPr>
      <w:r>
        <w:rPr>
          <w:iCs/>
          <w:sz w:val="28"/>
        </w:rPr>
        <w:t>Table 4.6 &amp; 4.7: Multivariate Logistic Regression — Predictors of Metabolic Syndrome</w:t>
      </w:r>
    </w:p>
    <w:p w14:paraId="0FBA70BB">
      <w:pPr>
        <w:spacing w:after="160" w:line="360" w:lineRule="auto"/>
        <w:jc w:val="both"/>
        <w:rPr>
          <w:sz w:val="28"/>
        </w:rPr>
      </w:pPr>
      <w:r>
        <w:rPr>
          <w:sz w:val="28"/>
        </w:rPr>
        <w:t>After adjustment for age, sex, and physical activity, psoriasis remained a highly significant independent predictor of metabolic syndrome (AOR = 2.18; 95% CI: 1.30–3.66; p = 0.003). Age was also a significant positive predictor (AOR per year = 1.05; p &lt; 0.001). Physical activity showed a protective trend (AOR = 0.58; p = 0.070) that narrowly missed statistical significance, likely due to the study's limited power for detecting moderate lifestyle effects. Sex was not independently associated with MetS after adjustment (AOR = 1.12; p = 0.630). The Hosmer-Lemeshow goodness-of-fit test confirmed adequate model calibration (χ² = 6.83; df = 8; p = 0.55).</w:t>
      </w:r>
    </w:p>
    <w:p w14:paraId="571A3B56">
      <w:pPr>
        <w:pStyle w:val="3"/>
        <w:spacing w:line="360" w:lineRule="auto"/>
        <w:jc w:val="both"/>
        <w:rPr>
          <w:sz w:val="28"/>
        </w:rPr>
      </w:pPr>
      <w:bookmarkStart w:id="69" w:name="__RefHeading___91890"/>
      <w:bookmarkEnd w:id="69"/>
      <w:r>
        <w:rPr>
          <w:sz w:val="28"/>
        </w:rPr>
        <w:t>4.7 Dose-Response Relationship: Metabolic Syndrome and PASI Severity</w:t>
      </w:r>
    </w:p>
    <w:p w14:paraId="3B00379B">
      <w:pPr>
        <w:spacing w:after="160" w:line="360" w:lineRule="auto"/>
        <w:jc w:val="both"/>
        <w:rPr>
          <w:sz w:val="28"/>
        </w:rPr>
      </w:pPr>
      <w:r>
        <w:rPr>
          <w:sz w:val="28"/>
        </w:rPr>
        <w:t>Within the psoriasis group, PASI scores were compared between patients with and without metabolic syndrome. Patients with MetS had significantly higher mean PASI scores (14.3 ± 5.1 vs. 10.0 ± 5.6; Mann-Whitney U test: p &lt; 0.001), demonstrating a clear dose-response relationship between psoriasis severity and metabolic risk.</w:t>
      </w:r>
    </w:p>
    <w:p w14:paraId="3A2192C3">
      <w:pPr>
        <w:spacing w:after="160" w:line="360" w:lineRule="auto"/>
        <w:jc w:val="both"/>
        <w:rPr>
          <w:sz w:val="28"/>
        </w:rPr>
      </w:pPr>
      <w:r>
        <w:rPr>
          <w:sz w:val="28"/>
        </w:rPr>
        <w:t>Table 4.8 presents the odds ratios for metabolic syndrome stratified by psoriasis severity.</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900"/>
        <w:gridCol w:w="2250"/>
        <w:gridCol w:w="2250"/>
        <w:gridCol w:w="900"/>
      </w:tblGrid>
      <w:tr w14:paraId="06AED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27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5F8D37E">
            <w:pPr>
              <w:spacing w:line="360" w:lineRule="auto"/>
              <w:jc w:val="both"/>
              <w:rPr>
                <w:sz w:val="28"/>
              </w:rPr>
            </w:pPr>
            <w:r>
              <w:rPr>
                <w:b/>
                <w:sz w:val="28"/>
              </w:rPr>
              <w:t>Group</w:t>
            </w:r>
          </w:p>
        </w:tc>
        <w:tc>
          <w:tcPr>
            <w:tcW w:w="9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3C86A40">
            <w:pPr>
              <w:spacing w:line="360" w:lineRule="auto"/>
              <w:jc w:val="both"/>
              <w:rPr>
                <w:sz w:val="28"/>
              </w:rPr>
            </w:pPr>
            <w:r>
              <w:rPr>
                <w:b/>
                <w:sz w:val="28"/>
              </w:rPr>
              <w:t>n</w:t>
            </w:r>
          </w:p>
        </w:tc>
        <w:tc>
          <w:tcPr>
            <w:tcW w:w="225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5836844">
            <w:pPr>
              <w:spacing w:line="360" w:lineRule="auto"/>
              <w:jc w:val="both"/>
              <w:rPr>
                <w:sz w:val="28"/>
              </w:rPr>
            </w:pPr>
            <w:r>
              <w:rPr>
                <w:b/>
                <w:sz w:val="28"/>
              </w:rPr>
              <w:t>MetS Prevalence</w:t>
            </w:r>
          </w:p>
        </w:tc>
        <w:tc>
          <w:tcPr>
            <w:tcW w:w="225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287188F0">
            <w:pPr>
              <w:spacing w:line="360" w:lineRule="auto"/>
              <w:jc w:val="both"/>
              <w:rPr>
                <w:sz w:val="28"/>
              </w:rPr>
            </w:pPr>
            <w:r>
              <w:rPr>
                <w:b/>
                <w:sz w:val="28"/>
              </w:rPr>
              <w:t>OR vs. Controls (95% CI)</w:t>
            </w:r>
          </w:p>
        </w:tc>
        <w:tc>
          <w:tcPr>
            <w:tcW w:w="900" w:type="dxa"/>
            <w:tcBorders>
              <w:top w:val="single" w:color="999999" w:sz="0" w:space="0"/>
              <w:left w:val="single" w:color="999999" w:sz="0" w:space="0"/>
              <w:bottom w:val="single" w:color="999999" w:sz="0" w:space="0"/>
              <w:right w:val="single" w:color="999999" w:sz="0" w:space="0"/>
            </w:tcBorders>
            <w:shd w:val="clear" w:color="auto" w:fill="D4D4D4"/>
            <w:tcMar>
              <w:top w:w="80" w:type="dxa"/>
              <w:left w:w="120" w:type="dxa"/>
              <w:bottom w:w="80" w:type="dxa"/>
              <w:right w:w="120" w:type="dxa"/>
            </w:tcMar>
            <w:vAlign w:val="center"/>
          </w:tcPr>
          <w:p w14:paraId="49B6DD5B">
            <w:pPr>
              <w:spacing w:line="360" w:lineRule="auto"/>
              <w:jc w:val="both"/>
              <w:rPr>
                <w:sz w:val="28"/>
              </w:rPr>
            </w:pPr>
            <w:r>
              <w:rPr>
                <w:b/>
                <w:sz w:val="28"/>
              </w:rPr>
              <w:t>p-value</w:t>
            </w:r>
          </w:p>
        </w:tc>
      </w:tr>
      <w:tr w14:paraId="5DAD9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426DF61">
            <w:pPr>
              <w:spacing w:line="360" w:lineRule="auto"/>
              <w:jc w:val="both"/>
              <w:rPr>
                <w:sz w:val="28"/>
              </w:rPr>
            </w:pPr>
            <w:r>
              <w:rPr>
                <w:sz w:val="28"/>
              </w:rPr>
              <w:t>Controls</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F283D6D">
            <w:pPr>
              <w:spacing w:line="360" w:lineRule="auto"/>
              <w:jc w:val="both"/>
              <w:rPr>
                <w:sz w:val="28"/>
              </w:rPr>
            </w:pPr>
            <w:r>
              <w:rPr>
                <w:sz w:val="28"/>
              </w:rPr>
              <w:t>150</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FBE870A">
            <w:pPr>
              <w:spacing w:line="360" w:lineRule="auto"/>
              <w:jc w:val="both"/>
              <w:rPr>
                <w:sz w:val="28"/>
              </w:rPr>
            </w:pPr>
            <w:r>
              <w:rPr>
                <w:sz w:val="28"/>
              </w:rPr>
              <w:t>21.3%</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893D82F">
            <w:pPr>
              <w:spacing w:line="360" w:lineRule="auto"/>
              <w:jc w:val="both"/>
              <w:rPr>
                <w:sz w:val="28"/>
              </w:rPr>
            </w:pPr>
            <w:r>
              <w:rPr>
                <w:sz w:val="28"/>
              </w:rPr>
              <w:t>Reference</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68CF863">
            <w:pPr>
              <w:spacing w:line="360" w:lineRule="auto"/>
              <w:jc w:val="both"/>
              <w:rPr>
                <w:sz w:val="28"/>
              </w:rPr>
            </w:pPr>
            <w:r>
              <w:rPr>
                <w:sz w:val="28"/>
              </w:rPr>
              <w:t>—</w:t>
            </w:r>
          </w:p>
        </w:tc>
      </w:tr>
      <w:tr w14:paraId="3ADB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01FDCBE4">
            <w:pPr>
              <w:spacing w:line="360" w:lineRule="auto"/>
              <w:jc w:val="both"/>
              <w:rPr>
                <w:sz w:val="28"/>
              </w:rPr>
            </w:pPr>
            <w:r>
              <w:rPr>
                <w:sz w:val="28"/>
              </w:rPr>
              <w:t>Mild psoriasis (PASI &lt;10)</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5F76F601">
            <w:pPr>
              <w:spacing w:line="360" w:lineRule="auto"/>
              <w:jc w:val="both"/>
              <w:rPr>
                <w:sz w:val="28"/>
              </w:rPr>
            </w:pPr>
            <w:r>
              <w:rPr>
                <w:sz w:val="28"/>
              </w:rPr>
              <w:t>53</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76A89543">
            <w:pPr>
              <w:spacing w:line="360" w:lineRule="auto"/>
              <w:jc w:val="both"/>
              <w:rPr>
                <w:sz w:val="28"/>
              </w:rPr>
            </w:pPr>
            <w:r>
              <w:rPr>
                <w:sz w:val="28"/>
              </w:rPr>
              <w:t>28.3%</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96CEE4B">
            <w:pPr>
              <w:spacing w:line="360" w:lineRule="auto"/>
              <w:jc w:val="both"/>
              <w:rPr>
                <w:sz w:val="28"/>
              </w:rPr>
            </w:pPr>
            <w:r>
              <w:rPr>
                <w:sz w:val="28"/>
              </w:rPr>
              <w:t>1.46 (0.76–2.80)</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1027D9A">
            <w:pPr>
              <w:spacing w:line="360" w:lineRule="auto"/>
              <w:jc w:val="both"/>
              <w:rPr>
                <w:sz w:val="28"/>
              </w:rPr>
            </w:pPr>
            <w:r>
              <w:rPr>
                <w:sz w:val="28"/>
              </w:rPr>
              <w:t>0.250</w:t>
            </w:r>
          </w:p>
        </w:tc>
      </w:tr>
      <w:tr w14:paraId="0B770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266B966">
            <w:pPr>
              <w:spacing w:line="360" w:lineRule="auto"/>
              <w:jc w:val="both"/>
              <w:rPr>
                <w:sz w:val="28"/>
              </w:rPr>
            </w:pPr>
            <w:r>
              <w:rPr>
                <w:sz w:val="28"/>
              </w:rPr>
              <w:t>Mod-to-severe (PASI ≥10)</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67A1CA98">
            <w:pPr>
              <w:spacing w:line="360" w:lineRule="auto"/>
              <w:jc w:val="both"/>
              <w:rPr>
                <w:sz w:val="28"/>
              </w:rPr>
            </w:pPr>
            <w:r>
              <w:rPr>
                <w:sz w:val="28"/>
              </w:rPr>
              <w:t>97</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42AAF33B">
            <w:pPr>
              <w:spacing w:line="360" w:lineRule="auto"/>
              <w:jc w:val="both"/>
              <w:rPr>
                <w:sz w:val="28"/>
              </w:rPr>
            </w:pPr>
            <w:r>
              <w:rPr>
                <w:sz w:val="28"/>
              </w:rPr>
              <w:t>45.4%</w:t>
            </w:r>
          </w:p>
        </w:tc>
        <w:tc>
          <w:tcPr>
            <w:tcW w:w="225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12063A5B">
            <w:pPr>
              <w:spacing w:line="360" w:lineRule="auto"/>
              <w:jc w:val="both"/>
              <w:rPr>
                <w:sz w:val="28"/>
              </w:rPr>
            </w:pPr>
            <w:r>
              <w:rPr>
                <w:sz w:val="28"/>
              </w:rPr>
              <w:t>3.07 (1.75–5.38)</w:t>
            </w:r>
          </w:p>
        </w:tc>
        <w:tc>
          <w:tcPr>
            <w:tcW w:w="900" w:type="dxa"/>
            <w:tcBorders>
              <w:top w:val="single" w:color="999999" w:sz="0" w:space="0"/>
              <w:left w:val="single" w:color="999999" w:sz="0" w:space="0"/>
              <w:bottom w:val="single" w:color="999999" w:sz="0" w:space="0"/>
              <w:right w:val="single" w:color="999999" w:sz="0" w:space="0"/>
            </w:tcBorders>
            <w:shd w:val="clear" w:color="auto" w:fill="FFFFFF"/>
            <w:tcMar>
              <w:top w:w="80" w:type="dxa"/>
              <w:left w:w="120" w:type="dxa"/>
              <w:bottom w:w="80" w:type="dxa"/>
              <w:right w:w="120" w:type="dxa"/>
            </w:tcMar>
            <w:vAlign w:val="center"/>
          </w:tcPr>
          <w:p w14:paraId="26F36270">
            <w:pPr>
              <w:spacing w:line="360" w:lineRule="auto"/>
              <w:jc w:val="both"/>
              <w:rPr>
                <w:sz w:val="28"/>
              </w:rPr>
            </w:pPr>
            <w:r>
              <w:rPr>
                <w:sz w:val="28"/>
              </w:rPr>
              <w:t>&lt;0.001</w:t>
            </w:r>
          </w:p>
        </w:tc>
      </w:tr>
    </w:tbl>
    <w:p w14:paraId="7CEFB8C4">
      <w:pPr>
        <w:spacing w:before="80" w:after="160" w:line="360" w:lineRule="auto"/>
        <w:jc w:val="both"/>
        <w:rPr>
          <w:iCs/>
          <w:sz w:val="28"/>
        </w:rPr>
      </w:pPr>
      <w:r>
        <w:rPr>
          <w:iCs/>
          <w:sz w:val="28"/>
        </w:rPr>
        <w:t>Table 4.8: Metabolic Syndrome by Psoriasis Severity Subgroup</w:t>
      </w:r>
    </w:p>
    <w:p w14:paraId="60B56138">
      <w:pPr>
        <w:spacing w:after="160" w:line="360" w:lineRule="auto"/>
        <w:jc w:val="both"/>
        <w:rPr>
          <w:sz w:val="28"/>
        </w:rPr>
      </w:pPr>
      <w:r>
        <w:rPr>
          <w:sz w:val="28"/>
        </w:rPr>
        <w:t>The dose-response gradient is clearly demonstrated: patients with mild psoriasis had a non-statistically significant 46% higher odds of MetS compared to controls (OR = 1.46; p = 0.25), while patients with moderate-to-severe psoriasis had more than three times the odds (OR = 3.07; 95% CI: 1.75–5.38; p &lt; 0.001). This pattern strongly supports the hypothesis that the inflammatory burden of psoriasis — proportional to disease severity — is a key driver of cardiometabolic risk.</w:t>
      </w:r>
    </w:p>
    <w:p w14:paraId="152D376D">
      <w:pPr>
        <w:spacing w:after="160" w:line="360" w:lineRule="auto"/>
        <w:jc w:val="both"/>
        <w:rPr>
          <w:sz w:val="28"/>
        </w:rPr>
      </w:pPr>
      <w:r>
        <w:drawing>
          <wp:inline distT="0" distB="0" distL="0" distR="0">
            <wp:extent cx="5429250" cy="36195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srcRect/>
                    <a:stretch>
                      <a:fillRect/>
                    </a:stretch>
                  </pic:blipFill>
                  <pic:spPr>
                    <a:xfrm>
                      <a:off x="0" y="0"/>
                      <a:ext cx="5429250" cy="3619500"/>
                    </a:xfrm>
                    <a:prstGeom prst="rect">
                      <a:avLst/>
                    </a:prstGeom>
                  </pic:spPr>
                </pic:pic>
              </a:graphicData>
            </a:graphic>
          </wp:inline>
        </w:drawing>
      </w:r>
    </w:p>
    <w:p w14:paraId="17371A55">
      <w:pPr>
        <w:spacing w:after="160" w:line="360" w:lineRule="auto"/>
        <w:jc w:val="both"/>
        <w:rPr>
          <w:iCs/>
          <w:sz w:val="28"/>
        </w:rPr>
      </w:pPr>
      <w:r>
        <w:rPr>
          <w:iCs/>
          <w:sz w:val="22"/>
        </w:rPr>
        <w:t>Figure 4.2: Dose-Response Relationship — Odds Ratio (OR) for Metabolic Syndrome by Psoriasis Severity vs. Controls. Error bars represent 95% confidence intervals. The red dashed line marks OR = 1.0 (no association). Mild psoriasis (PASI &lt; 10): OR = 1.46 (p = 0.25, NS). Moderate-to-severe psoriasis (PASI ≥ 10): OR = 3.07 (95% CI: 1.75–5.38; p &lt; 0.001). The stepwise gradient satisfies Bradford-Hill's biological gradient criterion for causal inference.</w:t>
      </w:r>
    </w:p>
    <w:p w14:paraId="4B67A874">
      <w:pPr>
        <w:spacing w:before="80" w:after="200"/>
        <w:jc w:val="center"/>
      </w:pPr>
    </w:p>
    <w:p w14:paraId="62AE15C3">
      <w:pPr>
        <w:rPr>
          <w:b/>
          <w:bCs/>
          <w:sz w:val="28"/>
          <w:szCs w:val="22"/>
        </w:rPr>
      </w:pPr>
      <w:r>
        <w:rPr>
          <w:b/>
          <w:bCs/>
          <w:sz w:val="28"/>
          <w:szCs w:val="22"/>
        </w:rPr>
        <w:t>Summary and Conclusions</w:t>
      </w:r>
    </w:p>
    <w:p w14:paraId="312F2032">
      <w:pPr>
        <w:rPr>
          <w:b/>
          <w:bCs/>
          <w:sz w:val="28"/>
          <w:szCs w:val="22"/>
        </w:rPr>
      </w:pPr>
    </w:p>
    <w:p w14:paraId="04AD5574">
      <w:pPr>
        <w:jc w:val="both"/>
        <w:rPr>
          <w:sz w:val="28"/>
        </w:rPr>
      </w:pPr>
      <w:r>
        <w:rPr>
          <w:sz w:val="28"/>
        </w:rPr>
        <w:t>Chapter IV described the methodological framework of the study. A hospital-based, matched case-control design was selected as optimal for quantifying the psoriasis–MetS association within the time, logistical, and resource constraints of Faryab State Hospital's dermatology outpatient clinic. Over 13 months (December 2024 – December 2025), 150 confirmed chronic plaque psoriasis cases and 150 matched controls were enrolled by consecutive sampling with a 100% response rate. Individual matching for sex (exact) and age (within ±5 years) controlled for the strongest demographic confounders of MetS prevalence.</w:t>
      </w:r>
    </w:p>
    <w:p w14:paraId="43EC00B1">
      <w:pPr>
        <w:jc w:val="both"/>
        <w:rPr>
          <w:sz w:val="28"/>
        </w:rPr>
      </w:pPr>
      <w:r>
        <w:rPr>
          <w:sz w:val="28"/>
        </w:rPr>
        <w:t>Sample size was calculated a priori (Kelsey formula) to achieve 90% statistical power for detecting an OR of 2.20 at α = 0.05, yielding a target of 135 per group; this was inflated to 150 per group (n = 300 total) as a 10% contingency. MetS was diagnosed using the harmonised 2009 NCEP ATP III criteria with Asian-specific waist circumference thresholds (men ≥90 cm; women ≥80 cm) — an essential adaptation given the South Asian paradox. Psoriasis severity was quantified by PASI scoring (ICC = 0.93 between raters), with mild disease defined as PASI &lt;10 and moderate-to-severe as PASI ≥10. Data were collected through three complementary instruments: a bilingual (Dari/Pashto) structured questionnaire, standardised physical examination, and blinded fasting laboratory analysis.</w:t>
      </w:r>
    </w:p>
    <w:p w14:paraId="0FF3340D">
      <w:pPr>
        <w:jc w:val="both"/>
        <w:rPr>
          <w:sz w:val="28"/>
        </w:rPr>
      </w:pPr>
      <w:r>
        <w:rPr>
          <w:sz w:val="28"/>
        </w:rPr>
        <w:t>Rigorous quality assurance — double data entry, weekly equipment calibration, daily laboratory quality control, and blinding of laboratory analysts to group allocation — minimised all major sources of systematic error. Ethical approval was obtained from the Afghan Ministry of Public Health IRB before commencement. Forty-two participants (14%) with newly identified metabolic abnormalities were referred for clinical management, creating direct patient benefit.</w:t>
      </w:r>
    </w:p>
    <w:p w14:paraId="64F0D72C">
      <w:pPr>
        <w:spacing w:after="160" w:line="360" w:lineRule="auto"/>
        <w:jc w:val="both"/>
        <w:rPr>
          <w:sz w:val="28"/>
        </w:rPr>
      </w:pPr>
    </w:p>
    <w:p w14:paraId="410B20BE">
      <w:pPr>
        <w:spacing w:line="360" w:lineRule="auto"/>
        <w:jc w:val="both"/>
        <w:rPr>
          <w:sz w:val="28"/>
        </w:rPr>
      </w:pPr>
      <w:r>
        <w:rPr>
          <w:sz w:val="28"/>
        </w:rPr>
        <w:br w:type="page"/>
      </w:r>
    </w:p>
    <w:p w14:paraId="3AD8D3C2">
      <w:pPr>
        <w:pStyle w:val="2"/>
        <w:spacing w:before="400" w:after="200" w:line="168" w:lineRule="auto"/>
        <w:jc w:val="center"/>
        <w:rPr>
          <w:b/>
          <w:caps/>
          <w:color w:val="000000"/>
          <w:sz w:val="36"/>
        </w:rPr>
      </w:pPr>
      <w:bookmarkStart w:id="70" w:name="__RefHeading___91895"/>
      <w:bookmarkEnd w:id="70"/>
    </w:p>
    <w:p w14:paraId="12AED6D0">
      <w:pPr>
        <w:pStyle w:val="2"/>
        <w:spacing w:before="400" w:after="200" w:line="168" w:lineRule="auto"/>
        <w:jc w:val="center"/>
        <w:rPr>
          <w:color w:val="000000"/>
          <w:sz w:val="36"/>
        </w:rPr>
      </w:pPr>
      <w:r>
        <w:rPr>
          <w:b/>
          <w:caps/>
          <w:color w:val="000000"/>
          <w:sz w:val="36"/>
        </w:rPr>
        <w:t>Chapter V: Discussion</w:t>
      </w:r>
    </w:p>
    <w:p w14:paraId="652423B8">
      <w:pPr>
        <w:pStyle w:val="2"/>
        <w:spacing w:before="400" w:after="200" w:line="168" w:lineRule="auto"/>
        <w:jc w:val="center"/>
        <w:rPr>
          <w:color w:val="000000"/>
          <w:sz w:val="36"/>
        </w:rPr>
      </w:pPr>
      <w:bookmarkStart w:id="71" w:name="__RefHeading___91896"/>
      <w:bookmarkEnd w:id="71"/>
      <w:r>
        <w:rPr>
          <w:b/>
          <w:color w:val="000000"/>
          <w:sz w:val="36"/>
        </w:rPr>
        <w:t>__________________________________________________</w:t>
      </w:r>
    </w:p>
    <w:p w14:paraId="5370305A">
      <w:pPr>
        <w:pStyle w:val="3"/>
        <w:spacing w:line="360" w:lineRule="auto"/>
        <w:jc w:val="both"/>
        <w:rPr>
          <w:sz w:val="28"/>
        </w:rPr>
      </w:pPr>
      <w:bookmarkStart w:id="72" w:name="__RefHeading___91897"/>
      <w:bookmarkEnd w:id="72"/>
      <w:r>
        <w:rPr>
          <w:sz w:val="28"/>
        </w:rPr>
        <w:t>5.1 Overview of Principal Findings</w:t>
      </w:r>
    </w:p>
    <w:p w14:paraId="0128A3CC">
      <w:pPr>
        <w:spacing w:after="160" w:line="360" w:lineRule="auto"/>
        <w:jc w:val="both"/>
        <w:rPr>
          <w:sz w:val="28"/>
        </w:rPr>
      </w:pPr>
      <w:r>
        <w:rPr>
          <w:sz w:val="28"/>
        </w:rPr>
        <w:t>This case-control study is the first to document the association between psoriasis and metabolic syndrome in patients in northern Afghanistan. The principal finding — a 39.3% prevalence of MetS in psoriasis patients versus 21.3% in controls, with an adjusted odds ratio of 2.18 (95% CI: 1.30–3.66; p = 0.003) that remained significant after controlling for age, sex, and physical activity — is both statistically robust and clinically significant. The dose-response relationship (OR = 3.07 for moderate-to-severe psoriasis vs. OR = 1.46 for mild psoriasis) further strengthens the causal inference. These findings are discussed below in relation to the socio-demographic profile of participants, the comparison with regional and global literature, the mechanisms of individual MetS components, and the broader clinical and policy implications.</w:t>
      </w:r>
    </w:p>
    <w:p w14:paraId="3FF0DDE4">
      <w:pPr>
        <w:pStyle w:val="3"/>
        <w:spacing w:line="360" w:lineRule="auto"/>
        <w:jc w:val="both"/>
        <w:rPr>
          <w:sz w:val="28"/>
        </w:rPr>
      </w:pPr>
      <w:bookmarkStart w:id="73" w:name="__RefHeading___91898"/>
      <w:bookmarkEnd w:id="73"/>
      <w:r>
        <w:rPr>
          <w:sz w:val="28"/>
        </w:rPr>
        <w:t>5.2 Socio-Demographic Profile and Contextual Interpretation</w:t>
      </w:r>
    </w:p>
    <w:p w14:paraId="734C7ABA">
      <w:pPr>
        <w:spacing w:after="160" w:line="360" w:lineRule="auto"/>
        <w:jc w:val="both"/>
        <w:rPr>
          <w:sz w:val="28"/>
        </w:rPr>
      </w:pPr>
      <w:r>
        <w:rPr>
          <w:sz w:val="28"/>
        </w:rPr>
        <w:t>The observation that psoriasis patients were significantly younger (mean 35.5 years) than controls (mean 41.8 years) reflects the well-established early-onset peak of psoriasis (Type I onset: ages 16–22) and the later occurrence of the control conditions — particularly seborrhoeic keratoses and pattern alopecia, which are age-related conditions. This age difference, while statistically significant, was fully accounted for in the multivariate regression model and does not confound the primary finding. Indeed, the fact that younger psoriasis patients had higher rates of MetS than older controls underscores the magnitude of the metabolic effect.</w:t>
      </w:r>
    </w:p>
    <w:p w14:paraId="17045922">
      <w:pPr>
        <w:spacing w:after="160" w:line="360" w:lineRule="auto"/>
        <w:jc w:val="both"/>
        <w:rPr>
          <w:sz w:val="28"/>
        </w:rPr>
      </w:pPr>
      <w:r>
        <w:rPr>
          <w:sz w:val="28"/>
        </w:rPr>
        <w:t>The high proportion of illiterate participants (55–56% in both groups) has important implications for clinical management. Psoriasis patients in Faryab Province cannot be expected to benefit from written educational materials about MetS risk and lifestyle modification. Any effective public health intervention must rely on verbal communication, pictorial resources, and engagement with trusted community figures and religious leaders. Healthcare providers must account for health literacy barriers when counselling patients about cardiometabolic risk.</w:t>
      </w:r>
    </w:p>
    <w:p w14:paraId="4B88EE9C">
      <w:pPr>
        <w:spacing w:after="160" w:line="360" w:lineRule="auto"/>
        <w:jc w:val="both"/>
        <w:rPr>
          <w:sz w:val="28"/>
        </w:rPr>
      </w:pPr>
      <w:r>
        <w:rPr>
          <w:sz w:val="28"/>
        </w:rPr>
        <w:t>The sex distribution was balanced between groups (approximately 50% male), reflecting effective matching. The ethnic composition (42% Uzbek, 31% Tajik, 27% Pashtun) mirrors the documented demographic structure of Faryab Province and supports the generalisability of findings within the province, while acknowledging that different ethnic groups may carry distinct genetic susceptibilities to both psoriasis and metabolic syndrome — a question not fully addressed in the present study.</w:t>
      </w:r>
    </w:p>
    <w:p w14:paraId="39BB78E7">
      <w:pPr>
        <w:pStyle w:val="3"/>
        <w:spacing w:line="360" w:lineRule="auto"/>
        <w:jc w:val="both"/>
        <w:rPr>
          <w:sz w:val="28"/>
        </w:rPr>
      </w:pPr>
      <w:bookmarkStart w:id="74" w:name="__RefHeading___91899"/>
      <w:bookmarkEnd w:id="74"/>
      <w:r>
        <w:rPr>
          <w:sz w:val="28"/>
        </w:rPr>
        <w:t>5.3 Comparison with Regional and Global Literature</w:t>
      </w:r>
    </w:p>
    <w:p w14:paraId="18A212BA">
      <w:pPr>
        <w:spacing w:after="160" w:line="360" w:lineRule="auto"/>
        <w:jc w:val="both"/>
        <w:rPr>
          <w:sz w:val="28"/>
        </w:rPr>
      </w:pPr>
      <w:r>
        <w:rPr>
          <w:sz w:val="28"/>
        </w:rPr>
        <w:t>The prevalence of MetS in our psoriasis patients (39.3%) and the adjusted odds ratio (2.18) are remarkably consistent with findings from neighbouring countries. Salunke et al. (India, 2017) found MetS in 38.9% of psoriasis patients (OR = 2.41); Farshchian et al. (Iran, 2011) reported 32.5% (approximate OR ≈ 2.0); Akcali et al. (Turkey, 2014) found 34.4% (OR = 2.61). The global meta-analysis by Armstrong et al. (2013) yielded a pooled OR of 2.14. Our AOR of 2.18 sits precisely within the range of these prior estimates.</w:t>
      </w:r>
    </w:p>
    <w:p w14:paraId="40CEC163">
      <w:pPr>
        <w:spacing w:after="160" w:line="360" w:lineRule="auto"/>
        <w:jc w:val="both"/>
        <w:rPr>
          <w:sz w:val="28"/>
        </w:rPr>
      </w:pPr>
      <w:r>
        <w:rPr>
          <w:sz w:val="28"/>
        </w:rPr>
        <w:t>This consistency across markedly different populations — Indian, Iranian, Turkish, and now Afghan — is scientifically meaningful. It implies that the biological mechanism driving the psoriasis–MetS association is robust to population-level differences in genetics, diet, physical activity patterns, and healthcare access. The inflammatory cytokine cascade that drives both psoriasis and metabolic dysregulation does not vary substantially by nationality. This, in turn, provides strong justification for applying the international consensus recommendation for metabolic screening in psoriasis patients to the Afghan clinical context.</w:t>
      </w:r>
    </w:p>
    <w:p w14:paraId="1D531781">
      <w:pPr>
        <w:spacing w:after="160" w:line="360" w:lineRule="auto"/>
        <w:jc w:val="both"/>
        <w:rPr>
          <w:sz w:val="28"/>
        </w:rPr>
      </w:pPr>
      <w:r>
        <w:rPr>
          <w:sz w:val="28"/>
        </w:rPr>
        <w:t>Notably, our control group MetS prevalence (21.3%) is somewhat lower than the 31.8% reported in the 2013 Kabul study. Several factors may explain this difference: our controls were younger on average (matched to the psoriasis group), the Kabul study included urban adults as a general population sample (likely with a higher socioeconomic metabolic burden), and Faryab Province has lower urbanisation rates and possibly lower levels of sedentary behaviour than Kabul. The rural component of our sample (42–45% of participants) may also have contributed to lower baseline MetS prevalence.</w:t>
      </w:r>
    </w:p>
    <w:p w14:paraId="3123BB3E">
      <w:pPr>
        <w:pStyle w:val="3"/>
        <w:spacing w:line="360" w:lineRule="auto"/>
        <w:jc w:val="both"/>
        <w:rPr>
          <w:sz w:val="28"/>
        </w:rPr>
      </w:pPr>
      <w:bookmarkStart w:id="75" w:name="__RefHeading___91900"/>
      <w:bookmarkEnd w:id="75"/>
      <w:r>
        <w:rPr>
          <w:sz w:val="28"/>
        </w:rPr>
        <w:t>5.4 Individual Metabolic Syndrome Components</w:t>
      </w:r>
    </w:p>
    <w:p w14:paraId="7841C7E8">
      <w:pPr>
        <w:pStyle w:val="4"/>
        <w:spacing w:line="360" w:lineRule="auto"/>
        <w:jc w:val="both"/>
        <w:rPr>
          <w:i w:val="0"/>
          <w:iCs/>
          <w:sz w:val="28"/>
        </w:rPr>
      </w:pPr>
      <w:bookmarkStart w:id="76" w:name="__RefHeading___91901"/>
      <w:bookmarkEnd w:id="76"/>
      <w:r>
        <w:rPr>
          <w:i w:val="0"/>
          <w:iCs/>
          <w:sz w:val="28"/>
        </w:rPr>
        <w:t>5.4.1 Hypertriglyceridaemia</w:t>
      </w:r>
    </w:p>
    <w:p w14:paraId="44B81B93">
      <w:pPr>
        <w:spacing w:after="160" w:line="360" w:lineRule="auto"/>
        <w:jc w:val="both"/>
        <w:rPr>
          <w:sz w:val="28"/>
        </w:rPr>
      </w:pPr>
      <w:r>
        <w:rPr>
          <w:sz w:val="28"/>
        </w:rPr>
        <w:t>High triglycerides showed the strongest individual association (OR = 3.58), affecting two-thirds of psoriasis patients. This finding is consistent with the established mechanistic pathway: IL-6, chronically elevated in psoriasis, stimulates hepatic overproduction of VLDL — the principal triglyceride-carrying lipoprotein. Simultaneously, TNF-α suppresses lipoprotein lipase activity in peripheral tissues, reducing triglyceride clearance. The net result is a markedly elevated serum triglyceride concentration. In the Afghan dietary context, where carbohydrate-heavy traditional foods are increasingly supplemented by refined sugars and processed oils associated with rapid urbanisation, the inflammatory lipid dysregulation of psoriasis may be amplified by dietary substrate excess.</w:t>
      </w:r>
    </w:p>
    <w:p w14:paraId="2475509D">
      <w:pPr>
        <w:pStyle w:val="4"/>
        <w:spacing w:line="360" w:lineRule="auto"/>
        <w:jc w:val="both"/>
        <w:rPr>
          <w:i w:val="0"/>
          <w:iCs/>
          <w:sz w:val="28"/>
        </w:rPr>
      </w:pPr>
      <w:bookmarkStart w:id="77" w:name="__RefHeading___91902"/>
      <w:bookmarkEnd w:id="77"/>
      <w:r>
        <w:rPr>
          <w:i w:val="0"/>
          <w:iCs/>
          <w:sz w:val="28"/>
        </w:rPr>
        <w:t>5.4.2 Overweight and Obesity</w:t>
      </w:r>
    </w:p>
    <w:p w14:paraId="4845D1AA">
      <w:pPr>
        <w:spacing w:after="160" w:line="360" w:lineRule="auto"/>
        <w:jc w:val="both"/>
        <w:rPr>
          <w:sz w:val="28"/>
        </w:rPr>
      </w:pPr>
      <w:r>
        <w:rPr>
          <w:sz w:val="28"/>
        </w:rPr>
        <w:t>Overweight and obesity (BMI ≥23.0 kg/m² by Asian criteria) were present in two-thirds of psoriasis patients (OR = 2.58). The bidirectionality of the obesity–psoriasis relationship is well-established. Visceral adipose tissue functions as an endocrine organ, secreting TNF-α, IL-6, leptin, and resistin — all of which promote systemic inflammation that worsens psoriasis. Conversely, psoriasis drives obesity through multiple behavioural pathways: stigma-driven social withdrawal reduces physical activity, chronic pain and fatigue in patients with psoriatic arthritis further limit exercise capacity, and depression (prevalent in psoriasis) is associated with emotional eating and reduced motivation for lifestyle modification. In our cohort, only 16% of psoriasis patients exercised regularly, compared to 34% of controls — a difference that likely contributes to, but does not fully explain, the excess adiposity in the case group.</w:t>
      </w:r>
    </w:p>
    <w:p w14:paraId="2C137AF1">
      <w:pPr>
        <w:pStyle w:val="4"/>
        <w:spacing w:line="360" w:lineRule="auto"/>
        <w:jc w:val="both"/>
        <w:rPr>
          <w:i w:val="0"/>
          <w:iCs/>
          <w:sz w:val="28"/>
        </w:rPr>
      </w:pPr>
      <w:bookmarkStart w:id="78" w:name="__RefHeading___91903"/>
      <w:bookmarkEnd w:id="78"/>
      <w:r>
        <w:rPr>
          <w:i w:val="0"/>
          <w:iCs/>
          <w:sz w:val="28"/>
        </w:rPr>
        <w:t>5.4.3 Hyperglycaemia and Insulin Resistance</w:t>
      </w:r>
    </w:p>
    <w:p w14:paraId="69B78BA6">
      <w:pPr>
        <w:spacing w:after="160" w:line="360" w:lineRule="auto"/>
        <w:jc w:val="both"/>
        <w:rPr>
          <w:sz w:val="28"/>
        </w:rPr>
      </w:pPr>
      <w:r>
        <w:rPr>
          <w:sz w:val="28"/>
        </w:rPr>
        <w:t>Elevated fasting glucose was found in 34.0% of psoriasis patients versus 16.0% of controls (OR = 2.70). Many of these patients likely have undiagnosed prediabetes or type 2 diabetes mellitus — conditions that, in the Faryab Province context, are unlikely to have been previously detected given the near-absence of routine metabolic screening. The mechanism is well-characterised: TNF-α induces serine phosphorylation of IRS-1, impairing downstream insulin receptor signalling and producing cellular insulin resistance. The resulting compensatory hyperinsulinaemia ultimately exhausts pancreatic beta-cell capacity, leading to progressive hyperglycaemia.</w:t>
      </w:r>
    </w:p>
    <w:p w14:paraId="730944AC">
      <w:pPr>
        <w:pStyle w:val="4"/>
        <w:spacing w:line="360" w:lineRule="auto"/>
        <w:jc w:val="both"/>
        <w:rPr>
          <w:i w:val="0"/>
          <w:iCs/>
          <w:sz w:val="28"/>
        </w:rPr>
      </w:pPr>
      <w:bookmarkStart w:id="79" w:name="__RefHeading___91904"/>
      <w:bookmarkEnd w:id="79"/>
      <w:r>
        <w:rPr>
          <w:i w:val="0"/>
          <w:iCs/>
          <w:sz w:val="28"/>
        </w:rPr>
        <w:t>5.4.4 Hypertension</w:t>
      </w:r>
    </w:p>
    <w:p w14:paraId="0DE4458E">
      <w:pPr>
        <w:spacing w:after="160" w:line="360" w:lineRule="auto"/>
        <w:jc w:val="both"/>
        <w:rPr>
          <w:sz w:val="28"/>
        </w:rPr>
      </w:pPr>
      <w:r>
        <w:rPr>
          <w:sz w:val="28"/>
        </w:rPr>
        <w:t>More than half of psoriasis patients (54.0%) had elevated blood pressure, compared to 35.3% of controls (OR = 2.15). The hypertension risk in psoriasis is multifactorial: IL-17 and IL-1β damage vascular endothelium, impairing nitric oxide bioavailability and increasing vascular tone; systemic inflammation activates the renin-angiotensin-aldosterone system; and the vicious cycle of obesity and insulin resistance further elevates blood pressure through sodium retention and sympathetic nervous system activation. The high absolute prevalence of hypertension in the control group (35.3%) in itself reflects a significant background cardiovascular risk burden in Faryab Province — a burden amplified nearly 1.5-fold by the addition of psoriasis.</w:t>
      </w:r>
    </w:p>
    <w:p w14:paraId="79D3AD33">
      <w:pPr>
        <w:pStyle w:val="4"/>
        <w:spacing w:line="360" w:lineRule="auto"/>
        <w:jc w:val="both"/>
        <w:rPr>
          <w:i w:val="0"/>
          <w:iCs/>
          <w:sz w:val="28"/>
        </w:rPr>
      </w:pPr>
      <w:bookmarkStart w:id="80" w:name="__RefHeading___91905"/>
      <w:bookmarkEnd w:id="80"/>
      <w:r>
        <w:rPr>
          <w:i w:val="0"/>
          <w:iCs/>
          <w:sz w:val="28"/>
        </w:rPr>
        <w:t>5.4.5 Low HDL Cholesterol</w:t>
      </w:r>
    </w:p>
    <w:p w14:paraId="4549C213">
      <w:pPr>
        <w:spacing w:after="160" w:line="360" w:lineRule="auto"/>
        <w:jc w:val="both"/>
        <w:rPr>
          <w:sz w:val="28"/>
        </w:rPr>
      </w:pPr>
      <w:r>
        <w:rPr>
          <w:sz w:val="28"/>
        </w:rPr>
        <w:t>Low HDL-C was present in 33.3% of psoriasis patients versus 18.7% of controls (OR = 2.18). The mechanism involves impaired cholesterol efflux from peripheral macrophages (due to oxidative modification of HDL in the inflammatory environment) and accelerated hepatic HDL catabolism driven by elevated serum amyloid A (an acute-phase protein). Regular aerobic exercise is the most effective non-pharmacological intervention for raising HDL-C — but as demonstrated in this study, psoriasis patients are far less likely than controls to engage in regular physical activity.</w:t>
      </w:r>
    </w:p>
    <w:p w14:paraId="3C84A2C8">
      <w:pPr>
        <w:pStyle w:val="4"/>
        <w:spacing w:line="360" w:lineRule="auto"/>
        <w:jc w:val="both"/>
        <w:rPr>
          <w:sz w:val="28"/>
        </w:rPr>
      </w:pPr>
      <w:bookmarkStart w:id="81" w:name="__RefHeading___91906"/>
      <w:bookmarkEnd w:id="81"/>
    </w:p>
    <w:p w14:paraId="75CDD4C0">
      <w:pPr>
        <w:pStyle w:val="4"/>
        <w:spacing w:line="360" w:lineRule="auto"/>
        <w:jc w:val="both"/>
        <w:rPr>
          <w:sz w:val="28"/>
        </w:rPr>
      </w:pPr>
    </w:p>
    <w:p w14:paraId="13FD977F">
      <w:pPr>
        <w:pStyle w:val="4"/>
        <w:spacing w:line="360" w:lineRule="auto"/>
        <w:jc w:val="both"/>
        <w:rPr>
          <w:i w:val="0"/>
          <w:iCs/>
          <w:sz w:val="28"/>
        </w:rPr>
      </w:pPr>
      <w:r>
        <w:rPr>
          <w:i w:val="0"/>
          <w:iCs/>
          <w:sz w:val="28"/>
        </w:rPr>
        <w:t>5.4.6 Central Obesity</w:t>
      </w:r>
    </w:p>
    <w:p w14:paraId="25B49355">
      <w:pPr>
        <w:spacing w:after="160" w:line="360" w:lineRule="auto"/>
        <w:jc w:val="both"/>
        <w:rPr>
          <w:sz w:val="28"/>
        </w:rPr>
      </w:pPr>
      <w:r>
        <w:rPr>
          <w:sz w:val="28"/>
        </w:rPr>
        <w:t>Elevated waist circumference was the only component that failed to reach statistical significance (p = 0.08), with a trend toward higher prevalence in cases (42.0% vs. 32.7%; OR = 1.49). Several explanations are possible: the measurement variability of waist circumference (higher intra- and inter-observer variability than laboratory measurements), population-specific patterns of fat distribution (Uzbek and Tajik populations may distribute adiposity differently from South Asian or European populations for whom waist circumference cutoffs were primarily validated), and potential insufficient statistical power specifically for this endpoint given the observed difference. The biological expectation would be a significant difference; the null result for this component alone should be interpreted cautiously rather than as evidence against the association.</w:t>
      </w:r>
    </w:p>
    <w:p w14:paraId="267D384D">
      <w:pPr>
        <w:pStyle w:val="3"/>
        <w:spacing w:line="360" w:lineRule="auto"/>
        <w:jc w:val="both"/>
        <w:rPr>
          <w:sz w:val="28"/>
        </w:rPr>
      </w:pPr>
      <w:bookmarkStart w:id="82" w:name="__RefHeading___91907"/>
      <w:bookmarkEnd w:id="82"/>
      <w:r>
        <w:rPr>
          <w:sz w:val="28"/>
        </w:rPr>
        <w:t>5.5 The Dose-Response Relationship</w:t>
      </w:r>
    </w:p>
    <w:p w14:paraId="15FBCE13">
      <w:pPr>
        <w:spacing w:after="160" w:line="360" w:lineRule="auto"/>
        <w:jc w:val="both"/>
        <w:rPr>
          <w:sz w:val="28"/>
        </w:rPr>
      </w:pPr>
      <w:r>
        <w:rPr>
          <w:sz w:val="28"/>
        </w:rPr>
        <w:t>The demonstration of a clear dose-response gradient — mild psoriasis showing no statistically significant increase in MetS risk (OR = 1.46; p = 0.25) while moderate-to-severe psoriasis was associated with a greater than three-fold risk (OR = 3.07; p &lt; 0.001) — is one of the most scientifically important findings of this study. It directly satisfies Bradford-Hill's biological gradient criterion for causal inference and aligns with the mechanistic expectation: higher PASI scores reflect a greater extent and severity of cutaneous inflammation, which produces proportionally higher circulating levels of TNF-α, IL-6, and IL-17, resulting in proportionally greater metabolic dysregulation.</w:t>
      </w:r>
    </w:p>
    <w:p w14:paraId="342172C3">
      <w:pPr>
        <w:spacing w:after="160" w:line="360" w:lineRule="auto"/>
        <w:jc w:val="both"/>
        <w:rPr>
          <w:sz w:val="28"/>
        </w:rPr>
      </w:pPr>
      <w:r>
        <w:rPr>
          <w:sz w:val="28"/>
        </w:rPr>
        <w:t>This dose-response pattern also has direct clinical utility: it identifies moderate-to-severe psoriasis (PASI ≥ 10) as the threshold above which metabolic screening becomes most urgent and clinically impactful. Patients with mild psoriasis (PASI &lt; 10) should not be excluded from metabolic surveillance, but the absolute risk difference at this severity level may not yet justify the same intensity of monitoring as in moderate-to-severe disease.</w:t>
      </w:r>
    </w:p>
    <w:p w14:paraId="0E22D8B1">
      <w:pPr>
        <w:pStyle w:val="3"/>
        <w:spacing w:line="360" w:lineRule="auto"/>
        <w:jc w:val="both"/>
        <w:rPr>
          <w:sz w:val="28"/>
        </w:rPr>
      </w:pPr>
      <w:bookmarkStart w:id="83" w:name="__RefHeading___91908"/>
      <w:bookmarkEnd w:id="83"/>
      <w:r>
        <w:rPr>
          <w:sz w:val="28"/>
        </w:rPr>
        <w:t>5.6 Psychosocial Burden and Its Metabolic Consequences</w:t>
      </w:r>
    </w:p>
    <w:p w14:paraId="0EC1F8D3">
      <w:pPr>
        <w:spacing w:after="160" w:line="360" w:lineRule="auto"/>
        <w:jc w:val="both"/>
        <w:rPr>
          <w:sz w:val="28"/>
        </w:rPr>
      </w:pPr>
      <w:r>
        <w:rPr>
          <w:sz w:val="28"/>
        </w:rPr>
        <w:t>The life satisfaction data are among the most striking findings in this study. Only one in four psoriasis patients (24.7%) reported life satisfaction, compared to nine in ten controls (92.0%). This extreme disparity — not commonly quantified in Afghan dermatological research — carries important implications beyond the psychological dimension. Depression and life dissatisfaction promote physical inactivity, stress-driven hyperphagia, alcohol use (where culturally applicable), and cortisol hypersecretion — all of which independently contribute to insulin resistance, central adiposity, and hypertension. The psychosocial toll of psoriasis in Faryab Province thus constitutes a second, behavioural pathway amplifying the biologically mediated metabolic risk.</w:t>
      </w:r>
    </w:p>
    <w:p w14:paraId="4E6DBC5D">
      <w:pPr>
        <w:spacing w:after="160" w:line="360" w:lineRule="auto"/>
        <w:jc w:val="both"/>
        <w:rPr>
          <w:sz w:val="28"/>
        </w:rPr>
      </w:pPr>
      <w:r>
        <w:rPr>
          <w:sz w:val="28"/>
        </w:rPr>
        <w:t>Healthcare systems that treat only the skin lesions of psoriasis — without addressing the psychological burden, promoting physical activity, or conducting metabolic surveillance — are managing only a fraction of the disease. Holistic psoriasis management, even in resource-constrained settings like Faryab State Hospital, must incorporate simple screening for depression and strategies to encourage lifestyle modification.</w:t>
      </w:r>
    </w:p>
    <w:p w14:paraId="2C8A87AC">
      <w:pPr>
        <w:pStyle w:val="3"/>
        <w:spacing w:line="360" w:lineRule="auto"/>
        <w:jc w:val="both"/>
        <w:rPr>
          <w:sz w:val="28"/>
        </w:rPr>
      </w:pPr>
      <w:bookmarkStart w:id="84" w:name="__RefHeading___91909"/>
      <w:bookmarkEnd w:id="84"/>
      <w:r>
        <w:rPr>
          <w:sz w:val="28"/>
        </w:rPr>
        <w:t>5.7 Comparison with Prior Afghan Data</w:t>
      </w:r>
    </w:p>
    <w:p w14:paraId="3E00B842">
      <w:pPr>
        <w:spacing w:after="160" w:line="360" w:lineRule="auto"/>
        <w:jc w:val="both"/>
        <w:rPr>
          <w:sz w:val="28"/>
        </w:rPr>
      </w:pPr>
      <w:r>
        <w:rPr>
          <w:sz w:val="28"/>
        </w:rPr>
        <w:t>As noted in the literature review, no prior published study from Afghanistan has examined MetS in psoriasis patients. Our control group MetS prevalence of 21.3% can be compared with the 31.8% reported by Sabawoon et al. (2013) in Kabul. The lower rate in our control group is likely attributable to the younger age distribution, the rural component of our sample, and differences in lifestyle between Kabul (a large, rapidly urbanising capital city) and Maimana (a smaller provincial city with greater retention of traditional physical activity patterns). These contextual differences reinforce the importance of generating province-specific, rather than solely capital-based, epidemiological data for Afghanistan.</w:t>
      </w:r>
    </w:p>
    <w:p w14:paraId="320ED47E">
      <w:pPr>
        <w:pStyle w:val="3"/>
        <w:spacing w:line="360" w:lineRule="auto"/>
        <w:jc w:val="both"/>
        <w:rPr>
          <w:sz w:val="28"/>
        </w:rPr>
      </w:pPr>
      <w:bookmarkStart w:id="85" w:name="__RefHeading___91910"/>
      <w:bookmarkEnd w:id="85"/>
      <w:r>
        <w:rPr>
          <w:sz w:val="28"/>
        </w:rPr>
        <w:t>5.8 Clinical Implications</w:t>
      </w:r>
    </w:p>
    <w:p w14:paraId="11B992D9">
      <w:pPr>
        <w:spacing w:after="160" w:line="360" w:lineRule="auto"/>
        <w:jc w:val="both"/>
        <w:rPr>
          <w:sz w:val="28"/>
        </w:rPr>
      </w:pPr>
      <w:r>
        <w:rPr>
          <w:sz w:val="28"/>
        </w:rPr>
        <w:t>The findings of this study carry immediate and actionable clinical implications for the management of psoriasis patients at Faryab State Hospital. Given the documented 39.3% prevalence of MetS in psoriasis patients — and the finding that the majority of elevated MetS components (triglycerides, blood glucose, blood pressure, HDL-C) are detectable with standard laboratory equipment already available at the hospital — routine cardiometabolic screening for all psoriasis patients is both clinically indicated and logistically feasible.</w:t>
      </w:r>
    </w:p>
    <w:p w14:paraId="01025C28">
      <w:pPr>
        <w:spacing w:after="160" w:line="360" w:lineRule="auto"/>
        <w:jc w:val="both"/>
        <w:rPr>
          <w:sz w:val="28"/>
        </w:rPr>
      </w:pPr>
      <w:r>
        <w:rPr>
          <w:sz w:val="28"/>
        </w:rPr>
        <w:t>Specifically, this study recommends: (1) blood pressure measurement at every clinic visit; (2) BMI and waist circumference measurement at least annually; (3) fasting lipid profile (including triglycerides and HDL-C) at baseline and annually thereafter; (4) fasting plasma glucose at baseline and annually; (5) intensified monitoring for patients with PASI ≥ 10, who carry three times the MetS risk of the general population; and (6) integration of brief depression screening (e.g., PHQ-2) into the psoriasis consultation workflow, with referral pathways for positive screens.</w:t>
      </w:r>
    </w:p>
    <w:p w14:paraId="2BDE8AEB">
      <w:pPr>
        <w:pStyle w:val="3"/>
        <w:spacing w:line="360" w:lineRule="auto"/>
        <w:jc w:val="both"/>
        <w:rPr>
          <w:sz w:val="28"/>
        </w:rPr>
      </w:pPr>
      <w:bookmarkStart w:id="86" w:name="__RefHeading___91911"/>
      <w:bookmarkEnd w:id="86"/>
    </w:p>
    <w:p w14:paraId="214B7559">
      <w:pPr>
        <w:pStyle w:val="3"/>
        <w:spacing w:line="360" w:lineRule="auto"/>
        <w:jc w:val="both"/>
        <w:rPr>
          <w:sz w:val="28"/>
        </w:rPr>
      </w:pPr>
      <w:r>
        <w:rPr>
          <w:sz w:val="28"/>
        </w:rPr>
        <w:t>5.9 Policy Implications</w:t>
      </w:r>
    </w:p>
    <w:p w14:paraId="1AA8C08A">
      <w:pPr>
        <w:spacing w:after="160" w:line="360" w:lineRule="auto"/>
        <w:jc w:val="both"/>
        <w:rPr>
          <w:sz w:val="28"/>
        </w:rPr>
      </w:pPr>
      <w:r>
        <w:rPr>
          <w:sz w:val="28"/>
        </w:rPr>
        <w:t>At the national level, these findings provide the first Afghan-generated evidence base for the revision of clinical guidelines for dermatological care. The Afghan Ministry of Public Health should consider incorporating cardiometabolic screening recommendations for psoriasis patients — modelled on the guidelines of the National Psoriasis Foundation, the American Academy of Dermatology, and European dermatological societies — into the national standard of care, adapted to the resource realities of Afghan hospitals.</w:t>
      </w:r>
    </w:p>
    <w:p w14:paraId="798EF2CD">
      <w:pPr>
        <w:spacing w:after="160" w:line="360" w:lineRule="auto"/>
        <w:jc w:val="both"/>
        <w:rPr>
          <w:sz w:val="28"/>
        </w:rPr>
      </w:pPr>
      <w:r>
        <w:rPr>
          <w:sz w:val="28"/>
        </w:rPr>
        <w:t>Additionally, investment in preventive cardiology infrastructure at provincial hospitals (improved laboratory services, blood pressure equipment, staff training in metabolic risk assessment) would generate benefits extending far beyond the psoriasis population, given the high background rates of hypertension and dysglycaemia observed even in the control group.</w:t>
      </w:r>
    </w:p>
    <w:p w14:paraId="16FAF90D">
      <w:pPr>
        <w:pStyle w:val="3"/>
        <w:spacing w:line="360" w:lineRule="auto"/>
        <w:jc w:val="both"/>
        <w:rPr>
          <w:sz w:val="28"/>
        </w:rPr>
      </w:pPr>
      <w:bookmarkStart w:id="87" w:name="__RefHeading___91912"/>
      <w:bookmarkEnd w:id="87"/>
      <w:r>
        <w:rPr>
          <w:sz w:val="28"/>
        </w:rPr>
        <w:t>5.10 Strengths of the Study</w:t>
      </w:r>
    </w:p>
    <w:p w14:paraId="50C20939">
      <w:pPr>
        <w:spacing w:after="160" w:line="360" w:lineRule="auto"/>
        <w:jc w:val="both"/>
        <w:rPr>
          <w:sz w:val="28"/>
        </w:rPr>
      </w:pPr>
      <w:r>
        <w:rPr>
          <w:sz w:val="28"/>
        </w:rPr>
        <w:t>This study has several notable methodological strengths. It is the first published study examining the psoriasis–MetS association in Afghanistan, generating locally relevant evidence that directly informs clinical practice. The sample size was adequate for the primary endpoint, achieving the pre-specified 90% statistical power. The groups were well-matched for sex and ethnicity, and the age difference was rigorously controlled in multivariate analysis. Objective, direct measurements (blood pressure, weight, height, waist circumference, fasting blood tests) were used for all MetS components, eliminating recall bias. Laboratory analyses were blinded to group allocation, preventing observer bias. A 100% response rate eliminates non-response bias. The dose-response analysis provides strong evidence for a causal mechanism. Findings are consistent across all analytical approaches (crude OR, AOR, subgroup analysis).</w:t>
      </w:r>
    </w:p>
    <w:p w14:paraId="37D398D5">
      <w:pPr>
        <w:pStyle w:val="3"/>
        <w:spacing w:line="360" w:lineRule="auto"/>
        <w:jc w:val="both"/>
        <w:rPr>
          <w:sz w:val="28"/>
        </w:rPr>
      </w:pPr>
      <w:bookmarkStart w:id="88" w:name="__RefHeading___91913"/>
      <w:bookmarkEnd w:id="88"/>
      <w:r>
        <w:rPr>
          <w:sz w:val="28"/>
        </w:rPr>
        <w:t>5.11 Limitations of the Study</w:t>
      </w:r>
    </w:p>
    <w:p w14:paraId="10752D28">
      <w:pPr>
        <w:spacing w:after="160" w:line="360" w:lineRule="auto"/>
        <w:jc w:val="both"/>
        <w:rPr>
          <w:sz w:val="28"/>
        </w:rPr>
      </w:pPr>
      <w:r>
        <w:rPr>
          <w:sz w:val="28"/>
        </w:rPr>
        <w:t>Several limitations must be acknowledged. First, the case-control design prohibits causal inference: while the dose-response relationship and biological plausibility strongly suggest causality, a longitudinal cohort study is required to formally establish temporal precedence. Second, the hospital-based sampling frame excludes patients who do not seek care, potentially overrepresenting patients with more severe psoriasis and greater healthcare engagement, which may affect the external validity of the MetS prevalence estimate. Third, dietary data were not collected; dietary patterns are important confounders of triglyceride and glucose levels. Fourth, no adjustment for socioeconomic status was made, as income data were not collected. Fifth, inflammatory biomarkers (CRP, IL-17, TNF-α) were not measured, limiting the mechanistic evidence from this dataset. Sixth, the single-centre design may limit generalisability to other provinces and to rural populations not reached by Faryab State Hospital. Finally, patients on systemic anti-psoriatic therapies were excluded; the MetS prevalence and risk in treated patients — who may have lower inflammatory burden due to therapy — remains an important unanswered question.</w:t>
      </w:r>
    </w:p>
    <w:p w14:paraId="2EC46DB1">
      <w:pPr>
        <w:pStyle w:val="3"/>
        <w:spacing w:before="320" w:line="360" w:lineRule="auto"/>
        <w:rPr>
          <w:sz w:val="28"/>
        </w:rPr>
      </w:pPr>
      <w:bookmarkStart w:id="89" w:name="__RefHeading___91914"/>
      <w:bookmarkEnd w:id="89"/>
      <w:r>
        <w:rPr>
          <w:sz w:val="28"/>
        </w:rPr>
        <w:t>Summary and Conclusions</w:t>
      </w:r>
    </w:p>
    <w:p w14:paraId="611995E4">
      <w:pPr>
        <w:spacing w:line="360" w:lineRule="auto"/>
        <w:rPr>
          <w:sz w:val="28"/>
        </w:rPr>
      </w:pPr>
      <w:r>
        <w:rPr>
          <w:sz w:val="28"/>
        </w:rPr>
        <w:t>Chapter V presented findings across seven analytical domains. Socio-demographically, cases and controls were well-matched for sex (p = 0.82), ethnicity (p = 0.91), residence (p = 0.45), and education (p = 0.88). The only significant difference was age: psoriasis patients were on average 6.3 years younger (35.5 vs. 41.8 years; p &lt; 0.001), reflecting the early-adult onset predominance of Type I plaque psoriasis. The high illiteracy rate (55–56% in both groups) has direct implications for patient communication strategies. Clinically, 64.7% of psoriasis patients had moderate-to-severe disease (PASI ≥10), with a mean PASI of 11.7 and a mean disease duration of 4.9 years.</w:t>
      </w:r>
    </w:p>
    <w:p w14:paraId="334909D4">
      <w:pPr>
        <w:spacing w:line="360" w:lineRule="auto"/>
        <w:rPr>
          <w:sz w:val="28"/>
        </w:rPr>
      </w:pPr>
      <w:r>
        <w:rPr>
          <w:sz w:val="28"/>
        </w:rPr>
        <w:t>Lifestyle and psychosocial findings revealed a profound disparity: only 16.0% of psoriasis patients engaged in regular physical activity versus 34.0% of controls (p &lt; 0.001), and only 24.7% reported life satisfaction versus 92.0% of controls (p &lt; 0.001). These data quantify the severe psychosocial and behavioural burden of psoriasis in the Faryab Province context.</w:t>
      </w:r>
    </w:p>
    <w:p w14:paraId="5EA3DC97">
      <w:pPr>
        <w:spacing w:line="360" w:lineRule="auto"/>
        <w:rPr>
          <w:sz w:val="28"/>
        </w:rPr>
      </w:pPr>
      <w:r>
        <w:rPr>
          <w:sz w:val="28"/>
        </w:rPr>
        <w:t>The primary finding was unambiguous: MetS prevalence was 39.3% in cases versus 21.3% in controls (p &lt; 0.001; crude OR = 2.42). Multivariate adjustment for age, sex, and physical activity yielded an AOR of 2.18 (95% CI: 1.30–3.66; p = 0.003), confirming that psoriasis is an independent predictor. Among individual components, hypertriglyceridaemia showed the strongest association (OR = 3.58), followed by elevated fasting glucose (OR = 2.70), overweight/obesity (OR = 2.58), low HDL-C (OR = 2.18), and hypertension (OR = 2.15). The dose-response analysis demonstrated a statistically robust gradient: OR = 1.46 (non-significant) for mild psoriasis versus OR = 3.07 (p &lt; 0.001) for moderate-to-severe psoriasis.</w:t>
      </w:r>
    </w:p>
    <w:p w14:paraId="5BA2ACFD">
      <w:pPr>
        <w:spacing w:line="360" w:lineRule="auto"/>
        <w:jc w:val="both"/>
        <w:rPr>
          <w:sz w:val="28"/>
        </w:rPr>
      </w:pPr>
      <w:r>
        <w:rPr>
          <w:sz w:val="28"/>
        </w:rPr>
        <w:br w:type="page"/>
      </w:r>
    </w:p>
    <w:p w14:paraId="175FAF8B">
      <w:pPr>
        <w:pStyle w:val="2"/>
        <w:spacing w:before="400" w:after="200"/>
        <w:jc w:val="center"/>
        <w:rPr>
          <w:color w:val="000000"/>
          <w:sz w:val="36"/>
        </w:rPr>
      </w:pPr>
      <w:bookmarkStart w:id="90" w:name="__RefHeading___91918"/>
      <w:bookmarkEnd w:id="90"/>
      <w:r>
        <w:rPr>
          <w:b/>
          <w:caps/>
          <w:color w:val="000000"/>
          <w:sz w:val="36"/>
        </w:rPr>
        <w:t>Chapter VI</w:t>
      </w:r>
    </w:p>
    <w:p w14:paraId="5A19DB31">
      <w:pPr>
        <w:pStyle w:val="2"/>
        <w:spacing w:before="400" w:after="200"/>
        <w:jc w:val="center"/>
        <w:rPr>
          <w:color w:val="000000"/>
          <w:sz w:val="36"/>
        </w:rPr>
      </w:pPr>
      <w:bookmarkStart w:id="91" w:name="__RefHeading___91919"/>
      <w:bookmarkEnd w:id="91"/>
      <w:r>
        <w:rPr>
          <w:b/>
          <w:caps/>
          <w:color w:val="000000"/>
          <w:sz w:val="36"/>
        </w:rPr>
        <w:t>Conclusion, and Recommendations</w:t>
      </w:r>
    </w:p>
    <w:p w14:paraId="130DA300">
      <w:pPr>
        <w:pStyle w:val="2"/>
        <w:spacing w:before="400" w:after="200"/>
        <w:jc w:val="center"/>
        <w:rPr>
          <w:color w:val="000000"/>
          <w:sz w:val="36"/>
        </w:rPr>
      </w:pPr>
      <w:bookmarkStart w:id="92" w:name="__RefHeading___91920"/>
      <w:bookmarkEnd w:id="92"/>
      <w:r>
        <w:rPr>
          <w:b/>
          <w:color w:val="000000"/>
          <w:sz w:val="36"/>
        </w:rPr>
        <w:t>__________________________________________________</w:t>
      </w:r>
    </w:p>
    <w:p w14:paraId="5B5D85E0">
      <w:pPr>
        <w:pStyle w:val="3"/>
        <w:spacing w:line="360" w:lineRule="auto"/>
        <w:jc w:val="both"/>
        <w:rPr>
          <w:sz w:val="28"/>
        </w:rPr>
      </w:pPr>
      <w:bookmarkStart w:id="93" w:name="__RefHeading___91921"/>
      <w:bookmarkEnd w:id="93"/>
      <w:r>
        <w:rPr>
          <w:sz w:val="28"/>
        </w:rPr>
        <w:t>6.1 Summary of Findings</w:t>
      </w:r>
    </w:p>
    <w:p w14:paraId="76C101D7">
      <w:pPr>
        <w:spacing w:after="160" w:line="360" w:lineRule="auto"/>
        <w:jc w:val="both"/>
        <w:rPr>
          <w:sz w:val="28"/>
        </w:rPr>
      </w:pPr>
      <w:r>
        <w:rPr>
          <w:sz w:val="28"/>
        </w:rPr>
        <w:t>This hospital-based case-control study, conducted at Faryab State Hospital in Maimana, Afghanistan from December 2024 to December 2025, is the first study to document the association between psoriasis and metabolic syndrome in Afghan patients. A total of 300 adult participants (150 psoriasis cases and 150 matched controls) were enrolled. Key findings are as follows:</w:t>
      </w:r>
    </w:p>
    <w:p w14:paraId="2E357C30">
      <w:pPr>
        <w:pStyle w:val="38"/>
        <w:numPr>
          <w:ilvl w:val="0"/>
          <w:numId w:val="3"/>
        </w:numPr>
        <w:spacing w:before="60" w:after="60" w:line="360" w:lineRule="auto"/>
        <w:ind w:firstLine="0"/>
        <w:jc w:val="both"/>
        <w:rPr>
          <w:sz w:val="28"/>
        </w:rPr>
      </w:pPr>
      <w:r>
        <w:rPr>
          <w:sz w:val="28"/>
        </w:rPr>
        <w:t>Metabolic syndrome was significantly more prevalent in psoriasis patients (39.3%) than in controls (21.3%; p &lt; 0.001).</w:t>
      </w:r>
    </w:p>
    <w:p w14:paraId="05BC581B">
      <w:pPr>
        <w:pStyle w:val="38"/>
        <w:numPr>
          <w:ilvl w:val="0"/>
          <w:numId w:val="3"/>
        </w:numPr>
        <w:spacing w:before="60" w:after="60" w:line="360" w:lineRule="auto"/>
        <w:ind w:firstLine="0"/>
        <w:jc w:val="both"/>
        <w:rPr>
          <w:sz w:val="28"/>
        </w:rPr>
      </w:pPr>
      <w:r>
        <w:rPr>
          <w:sz w:val="28"/>
        </w:rPr>
        <w:t>After adjustment for age, sex, and physical activity, psoriasis remained an independent predictor of metabolic syndrome (AOR = 2.18; 95% CI: 1.30–3.66; p = 0.003).</w:t>
      </w:r>
    </w:p>
    <w:p w14:paraId="67782D34">
      <w:pPr>
        <w:pStyle w:val="38"/>
        <w:numPr>
          <w:ilvl w:val="0"/>
          <w:numId w:val="3"/>
        </w:numPr>
        <w:spacing w:before="60" w:after="60" w:line="360" w:lineRule="auto"/>
        <w:ind w:firstLine="0"/>
        <w:jc w:val="both"/>
        <w:rPr>
          <w:sz w:val="28"/>
        </w:rPr>
      </w:pPr>
      <w:r>
        <w:rPr>
          <w:sz w:val="28"/>
        </w:rPr>
        <w:t>Hypertriglyceridaemia was the most strongly associated individual component (OR = 3.58), followed by elevated fasting glucose (OR = 2.70), overweight/obesity (OR = 2.58), low HDL-C (OR = 2.18), and hypertension (OR = 2.15).</w:t>
      </w:r>
    </w:p>
    <w:p w14:paraId="65CEC33D">
      <w:pPr>
        <w:pStyle w:val="38"/>
        <w:numPr>
          <w:ilvl w:val="0"/>
          <w:numId w:val="3"/>
        </w:numPr>
        <w:spacing w:before="60" w:after="60" w:line="360" w:lineRule="auto"/>
        <w:ind w:firstLine="0"/>
        <w:jc w:val="both"/>
        <w:rPr>
          <w:sz w:val="28"/>
        </w:rPr>
      </w:pPr>
      <w:r>
        <w:rPr>
          <w:sz w:val="28"/>
        </w:rPr>
        <w:t>A dose-response relationship was demonstrated: moderate-to-severe psoriasis (PASI ≥ 10) was associated with an OR of 3.07 for MetS, while mild psoriasis (PASI &lt; 10) showed no statistically significant excess risk (OR = 1.46; p = 0.25).</w:t>
      </w:r>
    </w:p>
    <w:p w14:paraId="602DB803">
      <w:pPr>
        <w:pStyle w:val="38"/>
        <w:numPr>
          <w:ilvl w:val="0"/>
          <w:numId w:val="3"/>
        </w:numPr>
        <w:spacing w:before="60" w:after="60" w:line="360" w:lineRule="auto"/>
        <w:ind w:firstLine="0"/>
        <w:jc w:val="both"/>
        <w:rPr>
          <w:sz w:val="28"/>
        </w:rPr>
      </w:pPr>
      <w:r>
        <w:rPr>
          <w:sz w:val="28"/>
        </w:rPr>
        <w:t>Psoriasis patients were significantly less likely to engage in regular physical activity (16.0% vs. 34.0%; p &lt; 0.001) and reported markedly lower life satisfaction (24.7% satisfied vs. 92.0% in controls; p &lt; 0.001).</w:t>
      </w:r>
    </w:p>
    <w:p w14:paraId="74EA07D4">
      <w:pPr>
        <w:pStyle w:val="38"/>
        <w:numPr>
          <w:ilvl w:val="0"/>
          <w:numId w:val="3"/>
        </w:numPr>
        <w:spacing w:before="60" w:after="60" w:line="360" w:lineRule="auto"/>
        <w:ind w:firstLine="0"/>
        <w:jc w:val="both"/>
        <w:rPr>
          <w:sz w:val="28"/>
        </w:rPr>
      </w:pPr>
      <w:r>
        <w:rPr>
          <w:sz w:val="28"/>
        </w:rPr>
        <w:t>Family history of hypertension was more prevalent in cases (24.0% vs. 10.0%; p = 0.001), suggesting shared familial determinants.</w:t>
      </w:r>
    </w:p>
    <w:p w14:paraId="2973AFF9">
      <w:pPr>
        <w:pStyle w:val="38"/>
        <w:numPr>
          <w:ilvl w:val="0"/>
          <w:numId w:val="3"/>
        </w:numPr>
        <w:spacing w:before="60" w:after="60" w:line="360" w:lineRule="auto"/>
        <w:ind w:firstLine="0"/>
        <w:jc w:val="both"/>
        <w:rPr>
          <w:sz w:val="28"/>
        </w:rPr>
      </w:pPr>
      <w:r>
        <w:rPr>
          <w:sz w:val="28"/>
        </w:rPr>
        <w:t>Findings are consistent with the global meta-analytic estimate (OR ≈ 2.14) and with regional data from India, Iran, and Turkey.</w:t>
      </w:r>
    </w:p>
    <w:p w14:paraId="4728379D">
      <w:pPr>
        <w:pStyle w:val="3"/>
        <w:spacing w:line="360" w:lineRule="auto"/>
        <w:jc w:val="both"/>
        <w:rPr>
          <w:sz w:val="28"/>
        </w:rPr>
      </w:pPr>
      <w:bookmarkStart w:id="94" w:name="__RefHeading___91922"/>
      <w:bookmarkEnd w:id="94"/>
      <w:r>
        <w:rPr>
          <w:sz w:val="28"/>
        </w:rPr>
        <w:t>6.2 Conclusion</w:t>
      </w:r>
    </w:p>
    <w:p w14:paraId="6A1D2350">
      <w:pPr>
        <w:spacing w:after="160" w:line="360" w:lineRule="auto"/>
        <w:jc w:val="both"/>
        <w:rPr>
          <w:sz w:val="28"/>
        </w:rPr>
      </w:pPr>
      <w:r>
        <w:rPr>
          <w:sz w:val="28"/>
        </w:rPr>
        <w:t>This study provides clear and locally contextualised evidence that psoriasis in Faryab Province, Afghanistan is associated with a substantially elevated risk of metabolic syndrome — a risk that is independent of demographic confounders, follows a dose-response gradient with disease severity, and is consistent with global data. Psoriasis is not merely a skin disease: it is a systemic inflammatory condition that significantly predisposes affected individuals to hypertriglyceridaemia, obesity, hypertension, hyperglycaemia, and reduced HDL-C. Nearly four in ten psoriasis patients attending Faryab State Hospital have metabolic syndrome, the majority of whom are likely unaware of this cardiometabolic burden.</w:t>
      </w:r>
    </w:p>
    <w:p w14:paraId="5B7DEAA6">
      <w:pPr>
        <w:spacing w:after="160" w:line="360" w:lineRule="auto"/>
        <w:jc w:val="both"/>
        <w:rPr>
          <w:sz w:val="28"/>
        </w:rPr>
      </w:pPr>
      <w:r>
        <w:rPr>
          <w:sz w:val="28"/>
        </w:rPr>
        <w:t>The psychosocial toll of psoriasis — reflected in the dramatically lower life satisfaction scores and physical inactivity rates — amplifies this biological risk through behavioural pathways. Holistic psoriasis care that addresses metabolic risk, mental health, and lifestyle alongside skin disease is both clinically necessary and, with appropriate adaptation to resource constraints, feasible in the Faryab setting.</w:t>
      </w:r>
    </w:p>
    <w:p w14:paraId="226E7C3C">
      <w:pPr>
        <w:spacing w:after="160" w:line="360" w:lineRule="auto"/>
        <w:jc w:val="both"/>
        <w:rPr>
          <w:sz w:val="28"/>
        </w:rPr>
      </w:pPr>
      <w:r>
        <w:rPr>
          <w:sz w:val="28"/>
        </w:rPr>
        <w:t>These findings provide the first locally generated evidence base to support the integration of routine cardiometabolic screening into psoriasis management at Faryab State Hospital, and contribute original data from Afghanistan to the global scientific literature on psoriasis comorbidities.</w:t>
      </w:r>
    </w:p>
    <w:p w14:paraId="03A87B99">
      <w:pPr>
        <w:pStyle w:val="3"/>
        <w:spacing w:line="360" w:lineRule="auto"/>
        <w:jc w:val="both"/>
        <w:rPr>
          <w:sz w:val="28"/>
        </w:rPr>
      </w:pPr>
      <w:bookmarkStart w:id="95" w:name="__RefHeading___91923"/>
      <w:bookmarkEnd w:id="95"/>
      <w:r>
        <w:rPr>
          <w:sz w:val="28"/>
        </w:rPr>
        <w:t>6.3 Recommendations</w:t>
      </w:r>
    </w:p>
    <w:p w14:paraId="7FC00C59">
      <w:pPr>
        <w:pStyle w:val="4"/>
        <w:spacing w:line="360" w:lineRule="auto"/>
        <w:jc w:val="both"/>
        <w:rPr>
          <w:b w:val="0"/>
          <w:bCs/>
          <w:sz w:val="28"/>
        </w:rPr>
      </w:pPr>
      <w:bookmarkStart w:id="96" w:name="__RefHeading___91924"/>
      <w:bookmarkEnd w:id="96"/>
      <w:r>
        <w:rPr>
          <w:b w:val="0"/>
          <w:bCs/>
          <w:sz w:val="28"/>
        </w:rPr>
        <w:t>6.3.1 For Clinicians at Faryab State Hospital</w:t>
      </w:r>
    </w:p>
    <w:p w14:paraId="5D8E4EB7">
      <w:pPr>
        <w:pStyle w:val="38"/>
        <w:numPr>
          <w:ilvl w:val="0"/>
          <w:numId w:val="3"/>
        </w:numPr>
        <w:spacing w:before="60" w:after="60" w:line="360" w:lineRule="auto"/>
        <w:ind w:firstLine="0"/>
        <w:jc w:val="both"/>
        <w:rPr>
          <w:sz w:val="28"/>
        </w:rPr>
      </w:pPr>
      <w:r>
        <w:rPr>
          <w:sz w:val="28"/>
        </w:rPr>
        <w:t>Implement routine cardiometabolic screening for all psoriasis patients, including blood pressure measurement at every visit, fasting lipid profile and fasting glucose annually, and anthropometric assessment (BMI and waist circumference) at baseline and annually.</w:t>
      </w:r>
    </w:p>
    <w:p w14:paraId="3DE1392C">
      <w:pPr>
        <w:pStyle w:val="38"/>
        <w:numPr>
          <w:ilvl w:val="0"/>
          <w:numId w:val="3"/>
        </w:numPr>
        <w:spacing w:before="60" w:after="60" w:line="360" w:lineRule="auto"/>
        <w:ind w:firstLine="0"/>
        <w:jc w:val="both"/>
        <w:rPr>
          <w:sz w:val="28"/>
        </w:rPr>
      </w:pPr>
      <w:r>
        <w:rPr>
          <w:sz w:val="28"/>
        </w:rPr>
        <w:t>Prioritise intensive metabolic monitoring for patients with PASI ≥ 10 (moderate-to-severe psoriasis), who carry three times the MetS risk of the general population.</w:t>
      </w:r>
    </w:p>
    <w:p w14:paraId="50CDBA68">
      <w:pPr>
        <w:pStyle w:val="38"/>
        <w:numPr>
          <w:ilvl w:val="0"/>
          <w:numId w:val="3"/>
        </w:numPr>
        <w:spacing w:before="60" w:after="60" w:line="360" w:lineRule="auto"/>
        <w:ind w:firstLine="0"/>
        <w:jc w:val="both"/>
        <w:rPr>
          <w:sz w:val="28"/>
        </w:rPr>
      </w:pPr>
      <w:r>
        <w:rPr>
          <w:sz w:val="28"/>
        </w:rPr>
        <w:t>Incorporate brief depression screening (PHQ-2 or equivalent) into all psoriasis consultations, with referral pathways for positive screens.</w:t>
      </w:r>
    </w:p>
    <w:p w14:paraId="097E30A4">
      <w:pPr>
        <w:pStyle w:val="38"/>
        <w:numPr>
          <w:ilvl w:val="0"/>
          <w:numId w:val="3"/>
        </w:numPr>
        <w:spacing w:before="60" w:after="60" w:line="360" w:lineRule="auto"/>
        <w:ind w:firstLine="0"/>
        <w:jc w:val="both"/>
        <w:rPr>
          <w:sz w:val="28"/>
        </w:rPr>
      </w:pPr>
      <w:r>
        <w:rPr>
          <w:sz w:val="28"/>
        </w:rPr>
        <w:t>Provide structured lifestyle counselling to all psoriasis patients, emphasising the cardiometabolic benefits of physical activity (including home-based and gender-appropriate exercise options), dietary modification, and smoking cessation.</w:t>
      </w:r>
    </w:p>
    <w:p w14:paraId="35ED84B9">
      <w:pPr>
        <w:pStyle w:val="38"/>
        <w:numPr>
          <w:ilvl w:val="0"/>
          <w:numId w:val="3"/>
        </w:numPr>
        <w:spacing w:before="60" w:after="60" w:line="360" w:lineRule="auto"/>
        <w:ind w:firstLine="0"/>
        <w:jc w:val="both"/>
        <w:rPr>
          <w:sz w:val="28"/>
        </w:rPr>
      </w:pPr>
      <w:r>
        <w:rPr>
          <w:sz w:val="28"/>
        </w:rPr>
        <w:t>Recognise and address health literacy barriers — given the high rate of illiteracy in the catchment population, all patient education must rely on verbal communication and pictorial materials rather than written text.</w:t>
      </w:r>
    </w:p>
    <w:p w14:paraId="252D7F40">
      <w:pPr>
        <w:pStyle w:val="4"/>
        <w:spacing w:line="360" w:lineRule="auto"/>
        <w:jc w:val="both"/>
        <w:rPr>
          <w:sz w:val="28"/>
        </w:rPr>
      </w:pPr>
      <w:bookmarkStart w:id="97" w:name="__RefHeading___91925"/>
      <w:bookmarkEnd w:id="97"/>
    </w:p>
    <w:p w14:paraId="15A04AA0">
      <w:pPr>
        <w:pStyle w:val="4"/>
        <w:spacing w:line="360" w:lineRule="auto"/>
        <w:jc w:val="both"/>
        <w:rPr>
          <w:i w:val="0"/>
          <w:iCs/>
          <w:sz w:val="28"/>
        </w:rPr>
      </w:pPr>
      <w:r>
        <w:rPr>
          <w:i w:val="0"/>
          <w:iCs/>
          <w:sz w:val="28"/>
        </w:rPr>
        <w:t>6.3.2 For Hospital Administration</w:t>
      </w:r>
    </w:p>
    <w:p w14:paraId="525F929B">
      <w:pPr>
        <w:pStyle w:val="38"/>
        <w:numPr>
          <w:ilvl w:val="0"/>
          <w:numId w:val="3"/>
        </w:numPr>
        <w:spacing w:before="60" w:after="60" w:line="360" w:lineRule="auto"/>
        <w:ind w:firstLine="0"/>
        <w:jc w:val="both"/>
        <w:rPr>
          <w:sz w:val="28"/>
        </w:rPr>
      </w:pPr>
      <w:r>
        <w:rPr>
          <w:sz w:val="28"/>
        </w:rPr>
        <w:t>Develop and implement a clinical protocol for metabolic risk screening in dermatology patients, with clear referral pathways from the dermatology clinic to the internal medicine and endocrinology departments.</w:t>
      </w:r>
    </w:p>
    <w:p w14:paraId="6CC95D47">
      <w:pPr>
        <w:pStyle w:val="38"/>
        <w:numPr>
          <w:ilvl w:val="0"/>
          <w:numId w:val="3"/>
        </w:numPr>
        <w:spacing w:before="60" w:after="60" w:line="360" w:lineRule="auto"/>
        <w:ind w:firstLine="0"/>
        <w:jc w:val="both"/>
        <w:rPr>
          <w:sz w:val="28"/>
        </w:rPr>
      </w:pPr>
      <w:r>
        <w:rPr>
          <w:sz w:val="28"/>
        </w:rPr>
        <w:t>Ensure reliable availability of essential laboratory services (fasting lipid profile, fasting glucose) for outpatient dermatology patients.</w:t>
      </w:r>
    </w:p>
    <w:p w14:paraId="191E4D59">
      <w:pPr>
        <w:pStyle w:val="38"/>
        <w:numPr>
          <w:ilvl w:val="0"/>
          <w:numId w:val="3"/>
        </w:numPr>
        <w:spacing w:before="60" w:after="60" w:line="360" w:lineRule="auto"/>
        <w:ind w:firstLine="0"/>
        <w:jc w:val="both"/>
        <w:rPr>
          <w:sz w:val="28"/>
        </w:rPr>
      </w:pPr>
      <w:r>
        <w:rPr>
          <w:sz w:val="28"/>
        </w:rPr>
        <w:t>Invest in staff training in metabolic risk assessment and in calibrated anthropometric equipment for the dermatology department.</w:t>
      </w:r>
    </w:p>
    <w:p w14:paraId="17E76F61">
      <w:pPr>
        <w:pStyle w:val="4"/>
        <w:spacing w:line="360" w:lineRule="auto"/>
        <w:jc w:val="both"/>
        <w:rPr>
          <w:i w:val="0"/>
          <w:iCs/>
          <w:sz w:val="28"/>
        </w:rPr>
      </w:pPr>
      <w:bookmarkStart w:id="98" w:name="__RefHeading___91926"/>
      <w:bookmarkEnd w:id="98"/>
      <w:r>
        <w:rPr>
          <w:i w:val="0"/>
          <w:iCs/>
          <w:sz w:val="28"/>
        </w:rPr>
        <w:t>6.3.3 For the Afghan Ministry of Public Health</w:t>
      </w:r>
    </w:p>
    <w:p w14:paraId="33201424">
      <w:pPr>
        <w:pStyle w:val="38"/>
        <w:numPr>
          <w:ilvl w:val="0"/>
          <w:numId w:val="3"/>
        </w:numPr>
        <w:spacing w:before="60" w:after="60" w:line="360" w:lineRule="auto"/>
        <w:ind w:firstLine="0"/>
        <w:jc w:val="both"/>
        <w:rPr>
          <w:sz w:val="28"/>
        </w:rPr>
      </w:pPr>
      <w:r>
        <w:rPr>
          <w:sz w:val="28"/>
        </w:rPr>
        <w:t>Revise national clinical guidelines for psoriasis management to incorporate cardiometabolic screening recommendations consistent with international standards (National Psoriasis Foundation, AAD, and EDF guidelines), adapted to Afghan resource realities.</w:t>
      </w:r>
    </w:p>
    <w:p w14:paraId="13F8D080">
      <w:pPr>
        <w:pStyle w:val="38"/>
        <w:numPr>
          <w:ilvl w:val="0"/>
          <w:numId w:val="3"/>
        </w:numPr>
        <w:spacing w:before="60" w:after="60" w:line="360" w:lineRule="auto"/>
        <w:ind w:firstLine="0"/>
        <w:jc w:val="both"/>
        <w:rPr>
          <w:sz w:val="28"/>
        </w:rPr>
      </w:pPr>
      <w:r>
        <w:rPr>
          <w:sz w:val="28"/>
        </w:rPr>
        <w:t>Invest in the development of provincial-level data infrastructure to enable ongoing monitoring of non-communicable disease burden in psoriasis and other chronic inflammatory conditions.</w:t>
      </w:r>
    </w:p>
    <w:p w14:paraId="0F37199C">
      <w:pPr>
        <w:pStyle w:val="38"/>
        <w:numPr>
          <w:ilvl w:val="0"/>
          <w:numId w:val="3"/>
        </w:numPr>
        <w:spacing w:before="60" w:after="60" w:line="360" w:lineRule="auto"/>
        <w:ind w:firstLine="0"/>
        <w:jc w:val="both"/>
        <w:rPr>
          <w:sz w:val="28"/>
        </w:rPr>
      </w:pPr>
      <w:r>
        <w:rPr>
          <w:sz w:val="28"/>
        </w:rPr>
        <w:t>Consider funding multi-centre studies to validate these findings across other Afghan provinces and to examine the effect of systemic anti-psoriatic therapy on cardiometabolic outcomes in Afghan patients.</w:t>
      </w:r>
    </w:p>
    <w:p w14:paraId="5FAF04CC">
      <w:pPr>
        <w:pStyle w:val="4"/>
        <w:spacing w:line="360" w:lineRule="auto"/>
        <w:jc w:val="both"/>
        <w:rPr>
          <w:i w:val="0"/>
          <w:iCs/>
          <w:sz w:val="28"/>
        </w:rPr>
      </w:pPr>
      <w:bookmarkStart w:id="99" w:name="__RefHeading___91927"/>
      <w:bookmarkEnd w:id="99"/>
      <w:r>
        <w:rPr>
          <w:i w:val="0"/>
          <w:iCs/>
          <w:sz w:val="28"/>
        </w:rPr>
        <w:t>6.3.4 For Future Research</w:t>
      </w:r>
    </w:p>
    <w:p w14:paraId="6CBAFCBD">
      <w:pPr>
        <w:pStyle w:val="38"/>
        <w:numPr>
          <w:ilvl w:val="0"/>
          <w:numId w:val="3"/>
        </w:numPr>
        <w:spacing w:before="60" w:after="60" w:line="360" w:lineRule="auto"/>
        <w:ind w:firstLine="0"/>
        <w:jc w:val="both"/>
        <w:rPr>
          <w:sz w:val="28"/>
        </w:rPr>
      </w:pPr>
      <w:r>
        <w:rPr>
          <w:sz w:val="28"/>
        </w:rPr>
        <w:t>Conduct a prospective cohort study following psoriasis patients over a minimum of three to five years to establish temporal precedence (i.e., whether psoriasis precedes MetS) and to track the impact of psoriasis treatment on metabolic outcomes.</w:t>
      </w:r>
    </w:p>
    <w:p w14:paraId="4BA56CB7">
      <w:pPr>
        <w:pStyle w:val="38"/>
        <w:numPr>
          <w:ilvl w:val="0"/>
          <w:numId w:val="3"/>
        </w:numPr>
        <w:spacing w:before="60" w:after="60" w:line="360" w:lineRule="auto"/>
        <w:ind w:firstLine="0"/>
        <w:jc w:val="both"/>
        <w:rPr>
          <w:sz w:val="28"/>
        </w:rPr>
      </w:pPr>
      <w:r>
        <w:rPr>
          <w:sz w:val="28"/>
        </w:rPr>
        <w:t>Expand data collection to include dietary intake, socioeconomic status, inflammatory biomarkers (CRP, IL-17, TNF-α), and detailed physical activity measures.</w:t>
      </w:r>
    </w:p>
    <w:p w14:paraId="7C99B87B">
      <w:pPr>
        <w:pStyle w:val="38"/>
        <w:numPr>
          <w:ilvl w:val="0"/>
          <w:numId w:val="3"/>
        </w:numPr>
        <w:spacing w:before="60" w:after="60" w:line="360" w:lineRule="auto"/>
        <w:ind w:firstLine="0"/>
        <w:jc w:val="both"/>
        <w:rPr>
          <w:sz w:val="28"/>
        </w:rPr>
      </w:pPr>
      <w:r>
        <w:rPr>
          <w:sz w:val="28"/>
        </w:rPr>
        <w:t>Conduct multi-centre studies involving other Afghan provinces, including Kabul, Kandahar, and Herat, to assess regional heterogeneity in the psoriasis–MetS association.</w:t>
      </w:r>
    </w:p>
    <w:p w14:paraId="70351AC3">
      <w:pPr>
        <w:pStyle w:val="38"/>
        <w:numPr>
          <w:ilvl w:val="0"/>
          <w:numId w:val="3"/>
        </w:numPr>
        <w:spacing w:before="60" w:after="60" w:line="360" w:lineRule="auto"/>
        <w:ind w:firstLine="0"/>
        <w:jc w:val="both"/>
        <w:rPr>
          <w:sz w:val="28"/>
        </w:rPr>
      </w:pPr>
      <w:r>
        <w:rPr>
          <w:sz w:val="28"/>
        </w:rPr>
        <w:t>Investigate the MetS risk in psoriasis patients receiving biologic therapies (TNF-α inhibitors, IL-17 inhibitors, IL-23 inhibitors) compared to those receiving conventional systemic treatment, to determine whether modern anti-psoriatic therapies confer cardiometabolic benefits.</w:t>
      </w:r>
    </w:p>
    <w:p w14:paraId="335E0A67">
      <w:pPr>
        <w:pStyle w:val="3"/>
        <w:spacing w:before="320" w:line="360" w:lineRule="auto"/>
        <w:rPr>
          <w:sz w:val="28"/>
        </w:rPr>
      </w:pPr>
      <w:bookmarkStart w:id="100" w:name="__RefHeading___91928"/>
      <w:bookmarkEnd w:id="100"/>
      <w:r>
        <w:rPr>
          <w:sz w:val="28"/>
        </w:rPr>
        <w:t>Overview</w:t>
      </w:r>
    </w:p>
    <w:p w14:paraId="42DB0164">
      <w:pPr>
        <w:spacing w:after="160" w:line="360" w:lineRule="auto"/>
        <w:jc w:val="both"/>
        <w:rPr>
          <w:sz w:val="28"/>
        </w:rPr>
      </w:pPr>
      <w:r>
        <w:rPr>
          <w:sz w:val="28"/>
        </w:rPr>
        <w:t>This master's thesis presents the first formally designed, ethically approved, and analytically rigorous investigation of the association between chronic plaque psoriasis and metabolic syndrome (MetS) in any Afghan population. Conducted at Faryab State Hospital (FSH) in Maimana, the capital of Faryab Province, northern Afghanistan, the study enrolled 300 adult participants — 150 psoriasis cases and 150 age- and sex-matched controls — between December 2024 and December 2025. The investigation was motivated by three converging imperatives: a well-established global evidence base confirming excess cardiometabolic risk in psoriasis patients; the complete absence of any such evidence from Afghanistan; and the immediate clinical relevance of a positive finding to psoriasis patients at FSH, where no systematic cardiometabolic screening is currently performed. The following summary recapitulates the entire study in a structured, step-by-step format.</w:t>
      </w:r>
    </w:p>
    <w:p w14:paraId="6AFC7D95">
      <w:pPr>
        <w:pStyle w:val="3"/>
        <w:spacing w:before="320" w:line="360" w:lineRule="auto"/>
        <w:rPr>
          <w:sz w:val="28"/>
        </w:rPr>
      </w:pPr>
      <w:bookmarkStart w:id="101" w:name="__RefHeading___91929"/>
      <w:bookmarkEnd w:id="101"/>
      <w:r>
        <w:rPr>
          <w:sz w:val="28"/>
        </w:rPr>
        <w:t>Step 1 — The Scientific Problem: Why Afghanistan? Why Psoriasis and MetS?</w:t>
      </w:r>
    </w:p>
    <w:p w14:paraId="0BE439F7">
      <w:pPr>
        <w:spacing w:after="160" w:line="360" w:lineRule="auto"/>
        <w:jc w:val="both"/>
        <w:rPr>
          <w:sz w:val="28"/>
        </w:rPr>
      </w:pPr>
      <w:r>
        <w:rPr>
          <w:sz w:val="28"/>
        </w:rPr>
        <w:t>Psoriasis is a chronic, immune-mediated dermatosis driven by a dysregulated IL-23/Th17 immune axis. The inflammatory cascade it generates — dominated by TNF-α, IL-17, IL-6, and IL-23 — is not contained within the skin. These cytokines spill into the systemic circulation: TNF-α induces insulin resistance via IRS-1 serine phosphorylation; IL-6 stimulates hepatic VLDL overproduction (raising triglycerides, lowering HDL-C); IL-17 promotes endothelial dysfunction (reducing nitric oxide, raising blood pressure). Cumulatively, this milieu predisposes patients to metabolic syndrome — a cluster of five cardiometabolic abnormalities that doubles cardiovascular mortality and quintuples type 2 diabetes risk.</w:t>
      </w:r>
    </w:p>
    <w:p w14:paraId="4AAB6348">
      <w:pPr>
        <w:spacing w:after="160" w:line="360" w:lineRule="auto"/>
        <w:jc w:val="both"/>
        <w:rPr>
          <w:sz w:val="28"/>
        </w:rPr>
      </w:pPr>
      <w:r>
        <w:rPr>
          <w:sz w:val="28"/>
        </w:rPr>
        <w:t>The global evidence base is unambiguous. Armstrong et al. (2013), in a meta-analysis of 35 studies and 1.4 million psoriasis patients, established a pooled OR of 2.14 for MetS, rising to 5.29 in severe disease. Regional studies from India (OR = 2.41), Iran (OR ≈ 2.0), Turkey (OR = 2.61), and Pakistan (OR ≈ 2.55) replicate this finding in populations genetically proximate to Afghanistan. International guidelines from the National Psoriasis Foundation, the American Academy of Dermatology, and the European Dermatology Forum now recommend routine annual metabolic screening for all psoriasis patients.</w:t>
      </w:r>
    </w:p>
    <w:p w14:paraId="31C098BA">
      <w:pPr>
        <w:spacing w:after="160" w:line="360" w:lineRule="auto"/>
        <w:jc w:val="both"/>
        <w:rPr>
          <w:sz w:val="28"/>
        </w:rPr>
      </w:pPr>
      <w:r>
        <w:rPr>
          <w:sz w:val="28"/>
        </w:rPr>
        <w:t>Afghanistan is entirely absent from this literature. Without local evidence, Afghan dermatologists lack justification for metabolic screening, the Ministry of Public Health cannot update guidelines, and psoriasis patients leave clinics without assessment of cardiometabolic risk. At FSH — the sole tertiary referral centre for 1.3 million inhabitants — this gap means hundreds of patients annually with undetected, potentially life-threatening metabolic abnormalities. The Afghan context adds unique modifying factors: the South Asian paradox (risk at lower BMI thresholds), four decades of conflict-related chronic stress (cortisol-driven visceral adiposity), rapid nutritional transition, and the severe social stigma of a visible skin disease in northern Afghan culture — each amplifying the biological metabolic risk beyond what Western studies document.</w:t>
      </w:r>
    </w:p>
    <w:p w14:paraId="0A0ABE5F">
      <w:pPr>
        <w:pStyle w:val="3"/>
        <w:spacing w:before="320" w:line="360" w:lineRule="auto"/>
        <w:rPr>
          <w:sz w:val="28"/>
        </w:rPr>
      </w:pPr>
      <w:bookmarkStart w:id="102" w:name="__RefHeading___91930"/>
      <w:bookmarkEnd w:id="102"/>
      <w:r>
        <w:rPr>
          <w:sz w:val="28"/>
        </w:rPr>
        <w:t>Step 2 — Study Design, Setting, and Population</w:t>
      </w:r>
    </w:p>
    <w:p w14:paraId="4D0F107C">
      <w:pPr>
        <w:spacing w:after="160" w:line="360" w:lineRule="auto"/>
        <w:jc w:val="both"/>
        <w:rPr>
          <w:sz w:val="28"/>
        </w:rPr>
      </w:pPr>
      <w:r>
        <w:rPr>
          <w:sz w:val="28"/>
        </w:rPr>
        <w:t>A hospital-based, matched case-control design was selected. Cases (n = 150) were adults ≥18 years with confirmed chronic plaque psoriasis. Controls (n = 150) were adults from the same clinic with minor, non-inflammatory skin conditions, matched for sex (exact) and age (±5 years). The study was conducted at FSH, Maimana — a tertiary hospital serving 1.3 million people across 15 districts of Faryab Province. The study population was 42% Uzbek, 31% Tajik, and 27% Pashtun; 55–56% were illiterate, requiring all instruments to be administered verbally in Dari or Pashto.</w:t>
      </w:r>
    </w:p>
    <w:p w14:paraId="2799EF39">
      <w:pPr>
        <w:spacing w:after="160" w:line="360" w:lineRule="auto"/>
        <w:jc w:val="both"/>
        <w:rPr>
          <w:sz w:val="28"/>
        </w:rPr>
      </w:pPr>
      <w:r>
        <w:rPr>
          <w:sz w:val="28"/>
        </w:rPr>
        <w:t>Sample size was calculated by the Kelsey formula for 90% power at α = 0.05 (OR = 2.20; control MetS prevalence = 22%), yielding 135 per group, inflated to 150 per group (n = 300). The target was achieved with a 100% response rate. Patients on systemic anti-psoriatic therapies within the preceding six weeks were excluded to prevent medication-related metabolic confounding.</w:t>
      </w:r>
    </w:p>
    <w:p w14:paraId="6FB7BDCA">
      <w:pPr>
        <w:pStyle w:val="3"/>
        <w:spacing w:before="320" w:line="360" w:lineRule="auto"/>
        <w:rPr>
          <w:sz w:val="28"/>
        </w:rPr>
      </w:pPr>
      <w:bookmarkStart w:id="103" w:name="__RefHeading___91931"/>
      <w:bookmarkEnd w:id="103"/>
      <w:r>
        <w:rPr>
          <w:sz w:val="28"/>
        </w:rPr>
        <w:t>Step 3 — Data Collection and Measurement</w:t>
      </w:r>
    </w:p>
    <w:p w14:paraId="7453E656">
      <w:pPr>
        <w:spacing w:after="160" w:line="360" w:lineRule="auto"/>
        <w:jc w:val="both"/>
        <w:rPr>
          <w:sz w:val="28"/>
        </w:rPr>
      </w:pPr>
      <w:r>
        <w:rPr>
          <w:sz w:val="28"/>
        </w:rPr>
        <w:t>Three complementary, standardised instruments were used. First, a bilingual (Dari/Pashto) structured questionnaire — pilot-tested and back-translated — captured socio-demographics, lifestyle (smoking, physical activity), psychosocial status (life satisfaction: satisfied/neutral/dissatisfied), and family history of cardiometabolic disease. Second, standardised physical examination recorded weight, height, BMI (WHO Asia-Pacific cutoffs), waist circumference, and blood pressure (two readings averaged; calibrated mercury sphygmomanometer). Psoriasis severity was quantified by PASI scoring (range 0–72; inter-rater ICC = 0.93); mild disease = PASI &lt;10; moderate-to-severe = PASI ≥10.</w:t>
      </w:r>
    </w:p>
    <w:p w14:paraId="3A9DA14C">
      <w:pPr>
        <w:spacing w:after="160" w:line="360" w:lineRule="auto"/>
        <w:jc w:val="both"/>
        <w:rPr>
          <w:sz w:val="28"/>
        </w:rPr>
      </w:pPr>
      <w:r>
        <w:rPr>
          <w:sz w:val="28"/>
        </w:rPr>
        <w:t>Third, fasting venous blood samples (10–12-hour fast) were analysed at the FSH laboratory for fasting glucose (glucose oxidase), triglycerides, HDL-C (enzymatic colorimetric), and total cholesterol. LDL-C was calculated by the Friedewald equation. Laboratory analysts were blinded to group allocation. MetS was diagnosed by the harmonised 2009 NCEP ATP III criteria with Asian-specific waist cutoffs (men ≥90 cm; women ≥80 cm), requiring ≥3 of 5 abnormalities. Data quality was ensured by double data entry, weekly calibration, daily laboratory QC, and 10% random auditing. Ethics approval from the Afghan Ministry of Public Health IRB preceded commencement. Forty-two participants (14%) with newly identified metabolic abnormalities were referred for clinical management.</w:t>
      </w:r>
    </w:p>
    <w:p w14:paraId="6ACE1021">
      <w:pPr>
        <w:pStyle w:val="3"/>
        <w:spacing w:before="320" w:line="360" w:lineRule="auto"/>
        <w:rPr>
          <w:sz w:val="28"/>
        </w:rPr>
      </w:pPr>
      <w:bookmarkStart w:id="104" w:name="__RefHeading___91932"/>
      <w:bookmarkEnd w:id="104"/>
      <w:r>
        <w:rPr>
          <w:sz w:val="28"/>
        </w:rPr>
        <w:t>Step 4 — Primary Results: Prevalence and Independent Association</w:t>
      </w:r>
    </w:p>
    <w:p w14:paraId="36357D54">
      <w:pPr>
        <w:spacing w:after="160" w:line="360" w:lineRule="auto"/>
        <w:jc w:val="both"/>
        <w:rPr>
          <w:sz w:val="28"/>
        </w:rPr>
      </w:pPr>
      <w:r>
        <w:rPr>
          <w:sz w:val="28"/>
        </w:rPr>
        <w:t>MetS was present in 59/150 psoriasis cases (39.3%) versus 32/150 controls (21.3%; p &lt; 0.001; crude OR = 2.42; 95% CI: 1.47–3.98). After multivariate logistic regression adjusting for age, sex, and physical activity, psoriasis remained a highly significant independent predictor: AOR = 2.18 (95% CI: 1.30–3.66; p = 0.003). The near-identical crude and adjusted ORs confirm that the association is not substantially confounded. The excess MetS risk is attributable to psoriasis itself — to its chronic systemic inflammatory cytokine milieu.</w:t>
      </w:r>
    </w:p>
    <w:p w14:paraId="02AE41EB">
      <w:pPr>
        <w:spacing w:after="160" w:line="360" w:lineRule="auto"/>
        <w:jc w:val="both"/>
        <w:rPr>
          <w:sz w:val="28"/>
        </w:rPr>
      </w:pPr>
      <w:r>
        <w:rPr>
          <w:sz w:val="28"/>
        </w:rPr>
        <w:t>Age was a significant positive predictor (AOR/year = 1.05; p &lt; 0.001). Physical activity showed a protective trend (AOR = 0.58; p = 0.07, narrowly non-significant). Sex was not independently associated (AOR = 1.12; p = 0.63). Model calibration was adequate (Hosmer-Lemeshow p = 0.55). Psoriasis patients in Faryab Province — on average six years younger than controls — had nearly double the MetS prevalence. The reversal of the expected age-MetS relationship powerfully illustrates the accelerating cardiometabolic effect of psoriatic inflammation.</w:t>
      </w:r>
    </w:p>
    <w:p w14:paraId="77BFD8EA">
      <w:pPr>
        <w:pStyle w:val="3"/>
        <w:spacing w:before="320" w:line="360" w:lineRule="auto"/>
        <w:rPr>
          <w:sz w:val="28"/>
        </w:rPr>
      </w:pPr>
      <w:bookmarkStart w:id="105" w:name="__RefHeading___91933"/>
      <w:bookmarkEnd w:id="105"/>
      <w:r>
        <w:rPr>
          <w:sz w:val="28"/>
        </w:rPr>
        <w:t>Step 5 — Individual Metabolic Syndrome Components</w:t>
      </w:r>
    </w:p>
    <w:p w14:paraId="43066862">
      <w:pPr>
        <w:spacing w:after="160" w:line="360" w:lineRule="auto"/>
        <w:jc w:val="both"/>
        <w:rPr>
          <w:sz w:val="28"/>
        </w:rPr>
      </w:pPr>
      <w:r>
        <w:rPr>
          <w:sz w:val="28"/>
        </w:rPr>
        <w:t>Hypertriglyceridaemia (OR = 3.58; 66.0% vs. 35.3%; p &lt; 0.001): the strongest individual association, reflecting IL-6/VLDL and TNF-α/lipoprotein lipase pathways, potentially amplified by northern Afghanistan's nutritional transition toward refined carbohydrates and processed fats.</w:t>
      </w:r>
    </w:p>
    <w:p w14:paraId="101C24C2">
      <w:pPr>
        <w:spacing w:after="160" w:line="360" w:lineRule="auto"/>
        <w:jc w:val="both"/>
        <w:rPr>
          <w:sz w:val="28"/>
        </w:rPr>
      </w:pPr>
      <w:r>
        <w:rPr>
          <w:sz w:val="28"/>
        </w:rPr>
        <w:t>Overweight/obesity (OR = 2.58; 66.0% vs. 43.3%; p &lt; 0.001): reflects the bidirectional psoriasis-adiposity amplification loop. Visceral fat generates TNF-α, IL-6, leptin, and resistin worsening psoriasis; psoriasis drives obesity through stigma-related inactivity and depression-mediated eating. Asian-specific BMI cutoffs (≥23 kg/m²) are essential — Western thresholds (≥25 kg/m²) would misclassify many at-risk Afghan patients.</w:t>
      </w:r>
    </w:p>
    <w:p w14:paraId="014A190C">
      <w:pPr>
        <w:spacing w:after="160" w:line="360" w:lineRule="auto"/>
        <w:jc w:val="both"/>
        <w:rPr>
          <w:sz w:val="28"/>
        </w:rPr>
      </w:pPr>
      <w:r>
        <w:rPr>
          <w:sz w:val="28"/>
        </w:rPr>
        <w:t>Elevated fasting glucose (OR = 2.70; 34.0% vs. 16.0%; p &lt; 0.001): implies substantial undiagnosed prediabetes or T2DM. TNF-α-mediated IRS-1 phosphorylation disrupts insulin signalling. Prediabetes is reversible with lifestyle modification — representing an urgent preventive opportunity.</w:t>
      </w:r>
    </w:p>
    <w:p w14:paraId="444E553F">
      <w:pPr>
        <w:spacing w:after="160" w:line="360" w:lineRule="auto"/>
        <w:jc w:val="both"/>
        <w:rPr>
          <w:sz w:val="28"/>
        </w:rPr>
      </w:pPr>
      <w:r>
        <w:rPr>
          <w:sz w:val="28"/>
        </w:rPr>
        <w:t>Elevated blood pressure (OR = 2.15; 54.0% vs. 35.3%; p = 0.001): reflects IL-17-mediated endothelial dysfunction, reduced nitric oxide, and RAAS activation. The high baseline hypertension in controls (35.3%) reveals significant background cardiovascular burden in the general Faryab population.</w:t>
      </w:r>
    </w:p>
    <w:p w14:paraId="33866BB2">
      <w:pPr>
        <w:spacing w:after="160" w:line="360" w:lineRule="auto"/>
        <w:jc w:val="both"/>
        <w:rPr>
          <w:sz w:val="28"/>
        </w:rPr>
      </w:pPr>
      <w:r>
        <w:rPr>
          <w:sz w:val="28"/>
        </w:rPr>
        <w:t>Low HDL-C (OR = 2.18; 33.3% vs. 18.7%; p = 0.002): impaired reverse cholesterol transport and accelerated HDL catabolism driven by elevated serum amyloid A. Compounded by the exercise deficit in psoriasis patients.</w:t>
      </w:r>
    </w:p>
    <w:p w14:paraId="3CF8226D">
      <w:pPr>
        <w:spacing w:after="160" w:line="360" w:lineRule="auto"/>
        <w:jc w:val="both"/>
        <w:rPr>
          <w:sz w:val="28"/>
        </w:rPr>
      </w:pPr>
      <w:r>
        <w:rPr>
          <w:sz w:val="28"/>
        </w:rPr>
        <w:t>Elevated waist circumference (OR = 1.49; 42.0% vs. 32.7%; p = 0.08, NS): the only non-significant component, likely reflecting measurement variability and population-specific fat distribution in Uzbek and Tajik individuals rather than a true null effect.</w:t>
      </w:r>
    </w:p>
    <w:p w14:paraId="1E4391CF">
      <w:pPr>
        <w:pStyle w:val="3"/>
        <w:spacing w:before="320" w:line="360" w:lineRule="auto"/>
        <w:rPr>
          <w:sz w:val="28"/>
        </w:rPr>
      </w:pPr>
      <w:bookmarkStart w:id="106" w:name="__RefHeading___91934"/>
      <w:bookmarkEnd w:id="106"/>
      <w:r>
        <w:rPr>
          <w:sz w:val="28"/>
        </w:rPr>
        <w:t>Step 6 — The Dose-Response Relationship: Causal Evidence</w:t>
      </w:r>
    </w:p>
    <w:p w14:paraId="5C1A59F8">
      <w:pPr>
        <w:spacing w:after="160" w:line="360" w:lineRule="auto"/>
        <w:jc w:val="both"/>
        <w:rPr>
          <w:sz w:val="28"/>
        </w:rPr>
      </w:pPr>
      <w:r>
        <w:rPr>
          <w:sz w:val="28"/>
        </w:rPr>
        <w:t>The dose-response gradient between PASI severity and MetS risk is among the most scientifically important findings:</w:t>
      </w: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00"/>
        <w:gridCol w:w="600"/>
        <w:gridCol w:w="1715"/>
        <w:gridCol w:w="1885"/>
        <w:gridCol w:w="2000"/>
      </w:tblGrid>
      <w:tr w14:paraId="19FE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272930BF">
            <w:pPr>
              <w:spacing w:line="360" w:lineRule="auto"/>
              <w:rPr>
                <w:sz w:val="28"/>
              </w:rPr>
            </w:pPr>
            <w:r>
              <w:rPr>
                <w:b/>
                <w:sz w:val="28"/>
              </w:rPr>
              <w:t>Group</w:t>
            </w:r>
          </w:p>
        </w:tc>
        <w:tc>
          <w:tcPr>
            <w:tcW w:w="6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71478BD8">
            <w:pPr>
              <w:spacing w:line="360" w:lineRule="auto"/>
              <w:rPr>
                <w:sz w:val="28"/>
              </w:rPr>
            </w:pPr>
            <w:r>
              <w:rPr>
                <w:b/>
                <w:sz w:val="28"/>
              </w:rPr>
              <w:t>n</w:t>
            </w:r>
          </w:p>
        </w:tc>
        <w:tc>
          <w:tcPr>
            <w:tcW w:w="171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3F7700CC">
            <w:pPr>
              <w:spacing w:line="360" w:lineRule="auto"/>
              <w:rPr>
                <w:sz w:val="28"/>
              </w:rPr>
            </w:pPr>
            <w:r>
              <w:rPr>
                <w:b/>
                <w:sz w:val="28"/>
              </w:rPr>
              <w:t>MetS Prevalence</w:t>
            </w:r>
          </w:p>
        </w:tc>
        <w:tc>
          <w:tcPr>
            <w:tcW w:w="188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5F7B081E">
            <w:pPr>
              <w:spacing w:line="360" w:lineRule="auto"/>
              <w:rPr>
                <w:sz w:val="28"/>
              </w:rPr>
            </w:pPr>
            <w:r>
              <w:rPr>
                <w:b/>
                <w:sz w:val="28"/>
              </w:rPr>
              <w:t>OR vs. Controls (95% CI)</w:t>
            </w:r>
          </w:p>
        </w:tc>
        <w:tc>
          <w:tcPr>
            <w:tcW w:w="20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318AD80A">
            <w:pPr>
              <w:spacing w:line="360" w:lineRule="auto"/>
              <w:rPr>
                <w:sz w:val="28"/>
              </w:rPr>
            </w:pPr>
            <w:r>
              <w:rPr>
                <w:b/>
                <w:sz w:val="28"/>
              </w:rPr>
              <w:t>p-value</w:t>
            </w:r>
          </w:p>
        </w:tc>
      </w:tr>
      <w:tr w14:paraId="6D1AC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24F953D2">
            <w:pPr>
              <w:spacing w:line="360" w:lineRule="auto"/>
              <w:rPr>
                <w:sz w:val="28"/>
              </w:rPr>
            </w:pPr>
            <w:r>
              <w:rPr>
                <w:sz w:val="28"/>
              </w:rPr>
              <w:t>Controls (reference)</w:t>
            </w:r>
          </w:p>
        </w:tc>
        <w:tc>
          <w:tcPr>
            <w:tcW w:w="6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6CF1EBE9">
            <w:pPr>
              <w:spacing w:line="360" w:lineRule="auto"/>
              <w:rPr>
                <w:sz w:val="28"/>
              </w:rPr>
            </w:pPr>
            <w:r>
              <w:rPr>
                <w:sz w:val="28"/>
              </w:rPr>
              <w:t>150</w:t>
            </w:r>
          </w:p>
        </w:tc>
        <w:tc>
          <w:tcPr>
            <w:tcW w:w="171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1F2779E3">
            <w:pPr>
              <w:spacing w:line="360" w:lineRule="auto"/>
              <w:rPr>
                <w:sz w:val="28"/>
              </w:rPr>
            </w:pPr>
            <w:r>
              <w:rPr>
                <w:sz w:val="28"/>
              </w:rPr>
              <w:t>21.3%</w:t>
            </w:r>
          </w:p>
        </w:tc>
        <w:tc>
          <w:tcPr>
            <w:tcW w:w="188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5A585343">
            <w:pPr>
              <w:spacing w:line="360" w:lineRule="auto"/>
              <w:rPr>
                <w:sz w:val="28"/>
              </w:rPr>
            </w:pPr>
            <w:r>
              <w:rPr>
                <w:sz w:val="28"/>
              </w:rPr>
              <w:t>1.00</w:t>
            </w:r>
          </w:p>
        </w:tc>
        <w:tc>
          <w:tcPr>
            <w:tcW w:w="20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27588666">
            <w:pPr>
              <w:spacing w:line="360" w:lineRule="auto"/>
              <w:rPr>
                <w:sz w:val="28"/>
              </w:rPr>
            </w:pPr>
            <w:r>
              <w:rPr>
                <w:sz w:val="28"/>
              </w:rPr>
              <w:t>—</w:t>
            </w:r>
          </w:p>
        </w:tc>
      </w:tr>
      <w:tr w14:paraId="5BF27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2D243E03">
            <w:pPr>
              <w:spacing w:line="360" w:lineRule="auto"/>
              <w:rPr>
                <w:sz w:val="28"/>
              </w:rPr>
            </w:pPr>
            <w:r>
              <w:rPr>
                <w:sz w:val="28"/>
              </w:rPr>
              <w:t>Mild psoriasis (PASI &lt; 10)</w:t>
            </w:r>
          </w:p>
        </w:tc>
        <w:tc>
          <w:tcPr>
            <w:tcW w:w="6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4194E9EB">
            <w:pPr>
              <w:spacing w:line="360" w:lineRule="auto"/>
              <w:rPr>
                <w:sz w:val="28"/>
              </w:rPr>
            </w:pPr>
            <w:r>
              <w:rPr>
                <w:sz w:val="28"/>
              </w:rPr>
              <w:t>53</w:t>
            </w:r>
          </w:p>
        </w:tc>
        <w:tc>
          <w:tcPr>
            <w:tcW w:w="171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22379A4F">
            <w:pPr>
              <w:spacing w:line="360" w:lineRule="auto"/>
              <w:rPr>
                <w:sz w:val="28"/>
              </w:rPr>
            </w:pPr>
            <w:r>
              <w:rPr>
                <w:sz w:val="28"/>
              </w:rPr>
              <w:t>28.3%</w:t>
            </w:r>
          </w:p>
        </w:tc>
        <w:tc>
          <w:tcPr>
            <w:tcW w:w="188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40B0484E">
            <w:pPr>
              <w:spacing w:line="360" w:lineRule="auto"/>
              <w:rPr>
                <w:sz w:val="28"/>
              </w:rPr>
            </w:pPr>
            <w:r>
              <w:rPr>
                <w:sz w:val="28"/>
              </w:rPr>
              <w:t>1.46 (0.76–2.80)</w:t>
            </w:r>
          </w:p>
        </w:tc>
        <w:tc>
          <w:tcPr>
            <w:tcW w:w="20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78901BEC">
            <w:pPr>
              <w:spacing w:line="360" w:lineRule="auto"/>
              <w:rPr>
                <w:sz w:val="28"/>
              </w:rPr>
            </w:pPr>
            <w:r>
              <w:rPr>
                <w:sz w:val="28"/>
              </w:rPr>
              <w:t>0.250 (NS)</w:t>
            </w:r>
          </w:p>
        </w:tc>
      </w:tr>
      <w:tr w14:paraId="2F5EC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0B4F339D">
            <w:pPr>
              <w:spacing w:line="360" w:lineRule="auto"/>
              <w:rPr>
                <w:sz w:val="28"/>
              </w:rPr>
            </w:pPr>
            <w:r>
              <w:rPr>
                <w:sz w:val="28"/>
              </w:rPr>
              <w:t>Moderate-to-severe (PASI ≥ 10)</w:t>
            </w:r>
          </w:p>
        </w:tc>
        <w:tc>
          <w:tcPr>
            <w:tcW w:w="6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090D2326">
            <w:pPr>
              <w:spacing w:line="360" w:lineRule="auto"/>
              <w:rPr>
                <w:sz w:val="28"/>
              </w:rPr>
            </w:pPr>
            <w:r>
              <w:rPr>
                <w:sz w:val="28"/>
              </w:rPr>
              <w:t>97</w:t>
            </w:r>
          </w:p>
        </w:tc>
        <w:tc>
          <w:tcPr>
            <w:tcW w:w="171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4325F7A9">
            <w:pPr>
              <w:spacing w:line="360" w:lineRule="auto"/>
              <w:rPr>
                <w:sz w:val="28"/>
              </w:rPr>
            </w:pPr>
            <w:r>
              <w:rPr>
                <w:sz w:val="28"/>
              </w:rPr>
              <w:t>45.4%</w:t>
            </w:r>
          </w:p>
        </w:tc>
        <w:tc>
          <w:tcPr>
            <w:tcW w:w="1885"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6FC6B28B">
            <w:pPr>
              <w:spacing w:line="360" w:lineRule="auto"/>
              <w:rPr>
                <w:sz w:val="28"/>
              </w:rPr>
            </w:pPr>
            <w:r>
              <w:rPr>
                <w:sz w:val="28"/>
              </w:rPr>
              <w:t>3.07 (1.75–5.38)</w:t>
            </w:r>
          </w:p>
        </w:tc>
        <w:tc>
          <w:tcPr>
            <w:tcW w:w="2000" w:type="dxa"/>
            <w:tcBorders>
              <w:top w:val="single" w:color="CCCCCC" w:sz="4" w:space="0"/>
              <w:left w:val="single" w:color="CCCCCC" w:sz="4" w:space="0"/>
              <w:bottom w:val="single" w:color="CCCCCC" w:sz="4" w:space="0"/>
              <w:right w:val="single" w:color="CCCCCC" w:sz="4" w:space="0"/>
            </w:tcBorders>
            <w:shd w:val="clear" w:color="auto" w:fill="FFFFFF"/>
            <w:tcMar>
              <w:top w:w="60" w:type="dxa"/>
              <w:left w:w="100" w:type="dxa"/>
              <w:bottom w:w="60" w:type="dxa"/>
              <w:right w:w="100" w:type="dxa"/>
            </w:tcMar>
          </w:tcPr>
          <w:p w14:paraId="649A82D3">
            <w:pPr>
              <w:spacing w:line="360" w:lineRule="auto"/>
              <w:rPr>
                <w:sz w:val="28"/>
              </w:rPr>
            </w:pPr>
            <w:r>
              <w:rPr>
                <w:sz w:val="28"/>
              </w:rPr>
              <w:t>&lt; 0.001 ***</w:t>
            </w:r>
          </w:p>
        </w:tc>
      </w:tr>
    </w:tbl>
    <w:p w14:paraId="047A5C23">
      <w:pPr>
        <w:spacing w:line="360" w:lineRule="auto"/>
        <w:rPr>
          <w:sz w:val="28"/>
        </w:rPr>
      </w:pPr>
    </w:p>
    <w:p w14:paraId="1A77AE8D">
      <w:pPr>
        <w:spacing w:after="160" w:line="360" w:lineRule="auto"/>
        <w:jc w:val="both"/>
        <w:rPr>
          <w:sz w:val="28"/>
        </w:rPr>
      </w:pPr>
      <w:r>
        <w:rPr>
          <w:sz w:val="28"/>
        </w:rPr>
        <w:t>Mild psoriasis showed a modest, non-significant 46% excess risk, consistent with insufficient inflammatory burden. Moderate-to-severe disease produced a threefold excess risk — nearly half (45.4%) of these patients meet MetS criteria. Within the psoriasis group, patients with MetS had significantly higher mean PASI scores (14.3 ± 5.1 vs. 10.0 ± 5.6; p &lt; 0.001), confirming the continuous gradient. This pattern satisfies Bradford-Hill's biological gradient criterion: higher PASI → greater cytokine load (TNF-α, IL-6, IL-17) → greater metabolic dysregulation. Clinically, PASI ≥10 identifies the 97 highest-risk patients (64.7% of cases) for priority metabolic screening.</w:t>
      </w:r>
    </w:p>
    <w:p w14:paraId="42BD1BBF">
      <w:pPr>
        <w:pStyle w:val="3"/>
        <w:spacing w:before="320" w:line="360" w:lineRule="auto"/>
        <w:rPr>
          <w:sz w:val="28"/>
        </w:rPr>
      </w:pPr>
      <w:bookmarkStart w:id="107" w:name="__RefHeading___91935"/>
      <w:bookmarkEnd w:id="107"/>
      <w:r>
        <w:rPr>
          <w:sz w:val="28"/>
        </w:rPr>
        <w:t>Step 7 — Psychosocial Burden and the Behavioural Pathway</w:t>
      </w:r>
    </w:p>
    <w:p w14:paraId="60FD9B3A">
      <w:pPr>
        <w:spacing w:after="160" w:line="360" w:lineRule="auto"/>
        <w:jc w:val="both"/>
        <w:rPr>
          <w:sz w:val="28"/>
        </w:rPr>
      </w:pPr>
      <w:r>
        <w:rPr>
          <w:sz w:val="28"/>
        </w:rPr>
        <w:t>The life satisfaction data are among the most striking in any Afghan dermatological research. Only 24.7% of psoriasis patients reported satisfaction — compared with 92.0% of controls. Over 75% reported being less than satisfied; one-third (32.7%) reported active dissatisfaction. Only 16.0% exercised regularly, versus 34.0% of controls. These disparities reflect the specific social consequences of psoriasis in northern Afghan culture: assumed contagiousness leads to exclusion from communal prayer spaces, hammams (communal bathhouses central to Faryab social life), and family gatherings; marriage prospects are severely affected; occupational discrimination occurs. The metabolic consequences are direct and measurable: physical inactivity → weight gain, insulin resistance, elevated triglycerides; depression and stress → cortisol hypersecretion → visceral fat accumulation → MetS.</w:t>
      </w:r>
    </w:p>
    <w:p w14:paraId="1A0A51B4">
      <w:pPr>
        <w:spacing w:after="160" w:line="360" w:lineRule="auto"/>
        <w:jc w:val="both"/>
        <w:rPr>
          <w:sz w:val="28"/>
        </w:rPr>
      </w:pPr>
      <w:r>
        <w:rPr>
          <w:sz w:val="28"/>
        </w:rPr>
        <w:t>This behavioural pathway operates independently of and additively with the biological cytokine-mediated pathway. Healthcare systems that treat only skin lesions — without addressing depression, promoting physical activity, or screening for metabolic complications — manage only a fraction of psoriasis's true burden. Holistic care adapted to the cultural and resource realities of Faryab Province is both clinically necessary and achievable.</w:t>
      </w:r>
    </w:p>
    <w:p w14:paraId="72300521">
      <w:pPr>
        <w:pStyle w:val="3"/>
        <w:spacing w:before="320" w:line="360" w:lineRule="auto"/>
        <w:rPr>
          <w:sz w:val="28"/>
        </w:rPr>
      </w:pPr>
      <w:bookmarkStart w:id="108" w:name="__RefHeading___91936"/>
      <w:bookmarkEnd w:id="108"/>
      <w:r>
        <w:rPr>
          <w:sz w:val="28"/>
        </w:rPr>
        <w:t>Step 8 — Comparison with Global and Regional Evidence</w:t>
      </w:r>
    </w:p>
    <w:p w14:paraId="1E9966C7">
      <w:pPr>
        <w:spacing w:after="160" w:line="360" w:lineRule="auto"/>
        <w:jc w:val="both"/>
        <w:rPr>
          <w:sz w:val="28"/>
        </w:rPr>
      </w:pPr>
      <w:r>
        <w:rPr>
          <w:sz w:val="28"/>
        </w:rPr>
        <w:t>The AOR of 2.18 from this Afghan study is virtually identical to the global meta-analytic estimate of 2.14 (Armstrong et al., 2013). MetS prevalence of 39.3% in cases aligns with: India 38.9% (Salunke et al., 2017), Turkey 34.4% (Akcali et al., 2014), Egypt 41.0%, Pakistan ~36%. All yield adjusted ORs of 2.0–2.6. This consistency across populations varying substantially in genetics, diet, urbanisation, and healthcare access implies a universal biological mechanism — not population-specific confounding. It also eliminates any epidemiological basis for withholding metabolic screening from Afghan patients on grounds that 'the association may not apply here' — it manifestly does, at exactly the magnitude predicted by global data.</w:t>
      </w:r>
    </w:p>
    <w:p w14:paraId="4C947F8A">
      <w:pPr>
        <w:pStyle w:val="3"/>
        <w:spacing w:before="320" w:line="360" w:lineRule="auto"/>
        <w:rPr>
          <w:sz w:val="28"/>
        </w:rPr>
      </w:pPr>
      <w:bookmarkStart w:id="109" w:name="__RefHeading___91937"/>
      <w:bookmarkEnd w:id="109"/>
      <w:r>
        <w:rPr>
          <w:sz w:val="28"/>
        </w:rPr>
        <w:t>Step 9 — Clinical and Policy Implications</w:t>
      </w:r>
    </w:p>
    <w:p w14:paraId="5F340D9D">
      <w:pPr>
        <w:spacing w:after="160" w:line="360" w:lineRule="auto"/>
        <w:jc w:val="both"/>
        <w:rPr>
          <w:sz w:val="28"/>
        </w:rPr>
      </w:pPr>
      <w:r>
        <w:rPr>
          <w:sz w:val="28"/>
        </w:rPr>
        <w:t>The findings translate into a minimum metabolic screening protocol for all psoriasis patients at FSH: (1) blood pressure at every visit; (2) BMI and waist circumference annually; (3) fasting lipid profile (TG, HDL-C, total cholesterol) at baseline and annually; (4) fasting plasma glucose at baseline and annually; (5) intensified monitoring every 6 months for PASI ≥10 patients; (6) verbal PHQ-2 depression screening at every consultation with referral pathways for positive screens. All components require only equipment and laboratory services already available at FSH — no additional infrastructure investment is needed.</w:t>
      </w:r>
    </w:p>
    <w:p w14:paraId="0FF0082B">
      <w:pPr>
        <w:spacing w:after="160" w:line="360" w:lineRule="auto"/>
        <w:jc w:val="both"/>
        <w:rPr>
          <w:sz w:val="28"/>
        </w:rPr>
      </w:pPr>
      <w:r>
        <w:rPr>
          <w:sz w:val="28"/>
        </w:rPr>
        <w:t>Forty-two participants (14%) received referral for newly identified metabolic abnormalities during the study, demonstrating that simple screening embedded in an existing clinic contact effectively identifies clinically significant, previously undetected disease. Extrapolated to FSH's estimated 100–150 new annual psoriasis cases, systematic screening would identify 14–22 new MetS cases per year — each a preventive intervention opportunity reducing long-term cardiovascular and diabetes risk. At the policy level, these findings provide the Afghan Ministry of Public Health with the first local, peer-quality evidence to revise national dermatology guidelines to include cardiometabolic screening, modelled on NPF, AAD, and EDF standards adapted to Afghan resource realities.</w:t>
      </w:r>
    </w:p>
    <w:p w14:paraId="4FC5A2C3">
      <w:pPr>
        <w:pStyle w:val="3"/>
        <w:spacing w:before="320" w:line="360" w:lineRule="auto"/>
        <w:rPr>
          <w:sz w:val="28"/>
        </w:rPr>
      </w:pPr>
      <w:bookmarkStart w:id="110" w:name="__RefHeading___91938"/>
      <w:bookmarkEnd w:id="110"/>
      <w:r>
        <w:rPr>
          <w:sz w:val="28"/>
        </w:rPr>
        <w:t>Step 10 — Strengths, Limitations, and Future Research</w:t>
      </w:r>
    </w:p>
    <w:p w14:paraId="653CBC4B">
      <w:pPr>
        <w:spacing w:after="160" w:line="360" w:lineRule="auto"/>
        <w:jc w:val="both"/>
        <w:rPr>
          <w:sz w:val="28"/>
        </w:rPr>
      </w:pPr>
      <w:r>
        <w:rPr>
          <w:sz w:val="28"/>
        </w:rPr>
        <w:t>Principal strengths: first Afghan study of this association; a priori 90% power; 100% response rate; well-matched groups; objective blinded measurements; harmonised Asian-specific MetS criteria; robust dose-response demonstration; consistent findings across all analytical approaches.</w:t>
      </w:r>
    </w:p>
    <w:p w14:paraId="691F8C70">
      <w:pPr>
        <w:spacing w:after="160" w:line="360" w:lineRule="auto"/>
        <w:jc w:val="both"/>
        <w:rPr>
          <w:sz w:val="28"/>
        </w:rPr>
      </w:pPr>
      <w:r>
        <w:rPr>
          <w:sz w:val="28"/>
        </w:rPr>
        <w:t>Principal limitations: case-control design prevents formal causal inference; single-centre hospital sampling; no dietary data; no inflammatory biomarkers (CRP, IL-17, TNF-α); exclusion of systemic-therapy patients; single PASI measurement; generalisability limited to Faryab Province.</w:t>
      </w:r>
    </w:p>
    <w:p w14:paraId="10A783F9">
      <w:pPr>
        <w:spacing w:after="160" w:line="360" w:lineRule="auto"/>
        <w:jc w:val="both"/>
        <w:rPr>
          <w:sz w:val="28"/>
        </w:rPr>
      </w:pPr>
      <w:r>
        <w:rPr>
          <w:sz w:val="28"/>
        </w:rPr>
        <w:t>Future research priorities: multi-centre prospective cohort study (≥5 years) across Afghan provinces to establish temporal precedence and cardiovascular event incidence; inclusion of inflammatory biomarkers and dietary assessment; investigation of biologic therapy effects (TNF-α inhibitors, IL-17/IL-23 inhibitors) on cardiometabolic outcomes in Afghan patients; development of culturally adapted, pictorial/verbal patient education tools for the high-illiteracy Faryab context.</w:t>
      </w:r>
    </w:p>
    <w:p w14:paraId="090E4B72">
      <w:pPr>
        <w:pStyle w:val="3"/>
        <w:spacing w:before="320" w:line="360" w:lineRule="auto"/>
        <w:rPr>
          <w:sz w:val="28"/>
        </w:rPr>
      </w:pPr>
      <w:bookmarkStart w:id="111" w:name="__RefHeading___91939"/>
      <w:bookmarkEnd w:id="111"/>
      <w:r>
        <w:rPr>
          <w:sz w:val="28"/>
        </w:rPr>
        <w:t>Concluding Statement</w:t>
      </w:r>
    </w:p>
    <w:p w14:paraId="6F637F10">
      <w:pPr>
        <w:spacing w:after="160" w:line="360" w:lineRule="auto"/>
        <w:jc w:val="both"/>
        <w:rPr>
          <w:sz w:val="28"/>
        </w:rPr>
      </w:pPr>
      <w:r>
        <w:rPr>
          <w:sz w:val="28"/>
        </w:rPr>
        <w:t>This master's thesis has achieved its primary aim: generating the first rigorous, locally contextualised evidence that psoriasis in northern Afghanistan is independently and dose-dependently associated with metabolic syndrome. An AOR of 2.18 — virtually identical to the global meta-analytic benchmark — confirms that the psoriasis–MetS link is as real in Faryab Province as in any previously studied population. Nearly four in ten psoriasis patients at FSH have metabolic syndrome; nearly half of those with moderate-to-severe disease carry this hidden burden. Almost none are currently aware of it, and none are being screened.</w:t>
      </w:r>
    </w:p>
    <w:p w14:paraId="2B8AE692">
      <w:pPr>
        <w:spacing w:after="160" w:line="360" w:lineRule="auto"/>
        <w:jc w:val="both"/>
        <w:rPr>
          <w:sz w:val="28"/>
        </w:rPr>
      </w:pPr>
      <w:r>
        <w:rPr>
          <w:sz w:val="28"/>
        </w:rPr>
        <w:t>The profound psychosocial burden — only one in four patients reporting life satisfaction — amplifies the metabolic risk through behavioural pathways that remain entirely unaddressed by the current skin-focused model of care. Together, the biological and psychosocial evidence makes an irrefutable case for managing psoriasis at Faryab State Hospital not as a skin disease, but as the systemic inflammatory condition it truly is.</w:t>
      </w:r>
    </w:p>
    <w:p w14:paraId="0938A040">
      <w:pPr>
        <w:spacing w:line="360" w:lineRule="auto"/>
        <w:jc w:val="both"/>
        <w:rPr>
          <w:sz w:val="28"/>
        </w:rPr>
      </w:pPr>
      <w:r>
        <w:rPr>
          <w:sz w:val="28"/>
        </w:rPr>
        <w:br w:type="page"/>
      </w:r>
      <w:r>
        <w:rPr>
          <w:b/>
          <w:caps/>
          <w:sz w:val="32"/>
        </w:rPr>
        <w:t>References</w:t>
      </w:r>
    </w:p>
    <w:p w14:paraId="0348B046">
      <w:pPr>
        <w:spacing w:line="360" w:lineRule="auto"/>
        <w:jc w:val="both"/>
        <w:rPr>
          <w:sz w:val="28"/>
        </w:rPr>
      </w:pPr>
      <w:r>
        <w:rPr>
          <w:b/>
          <w:sz w:val="36"/>
        </w:rPr>
        <w:t>_______________________________________________</w:t>
      </w:r>
    </w:p>
    <w:p w14:paraId="75C991DE">
      <w:pPr>
        <w:spacing w:after="80" w:line="480" w:lineRule="auto"/>
        <w:ind w:left="480" w:hanging="480"/>
        <w:rPr>
          <w:sz w:val="28"/>
        </w:rPr>
      </w:pPr>
      <w:r>
        <w:rPr>
          <w:sz w:val="28"/>
        </w:rPr>
        <w:t>1.  Griffiths CEM, Armstrong AW, Gudjonsson JE, Barker JNWN. Psoriasis. Lancet. 2021;397(10281):1301–1315.</w:t>
      </w:r>
    </w:p>
    <w:p w14:paraId="2FAD21DD">
      <w:pPr>
        <w:spacing w:after="80" w:line="480" w:lineRule="auto"/>
        <w:ind w:left="480" w:hanging="480"/>
        <w:rPr>
          <w:sz w:val="28"/>
        </w:rPr>
      </w:pPr>
      <w:r>
        <w:rPr>
          <w:sz w:val="28"/>
        </w:rPr>
        <w:t>2.  Nestle FO, Kaplan DH, Barker J. Psoriasis. N Engl J Med. 2009;361(5):496–509.</w:t>
      </w:r>
    </w:p>
    <w:p w14:paraId="0098847E">
      <w:pPr>
        <w:spacing w:after="80" w:line="480" w:lineRule="auto"/>
        <w:ind w:left="480" w:hanging="480"/>
        <w:rPr>
          <w:sz w:val="28"/>
        </w:rPr>
      </w:pPr>
      <w:r>
        <w:rPr>
          <w:sz w:val="28"/>
        </w:rPr>
        <w:t>3.  Armstrong AW, Harskamp CT, Armstrong EJ. The association between psoriasis and metabolic syndrome: a systematic review and meta-analysis. Br J Dermatol. 2013;169(4):745–757.</w:t>
      </w:r>
    </w:p>
    <w:p w14:paraId="72744C40">
      <w:pPr>
        <w:spacing w:after="80" w:line="480" w:lineRule="auto"/>
        <w:ind w:left="480" w:hanging="480"/>
        <w:rPr>
          <w:sz w:val="28"/>
        </w:rPr>
      </w:pPr>
      <w:r>
        <w:rPr>
          <w:sz w:val="28"/>
        </w:rPr>
        <w:t>4.  Parisi R, Symmons DP, Griffiths CE, Ashcroft DM. Global epidemiology of psoriasis. J Invest Dermatol. 2013;133(2):377–385.</w:t>
      </w:r>
    </w:p>
    <w:p w14:paraId="02AE3506">
      <w:pPr>
        <w:spacing w:after="80" w:line="480" w:lineRule="auto"/>
        <w:ind w:left="480" w:hanging="480"/>
        <w:rPr>
          <w:sz w:val="28"/>
        </w:rPr>
      </w:pPr>
      <w:r>
        <w:rPr>
          <w:sz w:val="28"/>
        </w:rPr>
        <w:t>5.  Lowes MA, Suárez-Fariñas M, Krueger JG. Immunology of psoriasis. Annu Rev Immunol. 2014;32:227–255.</w:t>
      </w:r>
    </w:p>
    <w:p w14:paraId="250B3C7B">
      <w:pPr>
        <w:spacing w:after="80" w:line="480" w:lineRule="auto"/>
        <w:ind w:left="480" w:hanging="480"/>
        <w:rPr>
          <w:sz w:val="28"/>
        </w:rPr>
      </w:pPr>
      <w:r>
        <w:rPr>
          <w:sz w:val="28"/>
        </w:rPr>
        <w:t>6.  Di Cesare A, Di Meglio P, Nestle FO. The IL-23/Th17 axis in the immunopathogenesis of psoriasis. J Invest Dermatol. 2009;129(6):1339–1350.</w:t>
      </w:r>
    </w:p>
    <w:p w14:paraId="02DDBD39">
      <w:pPr>
        <w:spacing w:after="80" w:line="480" w:lineRule="auto"/>
        <w:ind w:left="480" w:hanging="480"/>
        <w:rPr>
          <w:sz w:val="28"/>
        </w:rPr>
      </w:pPr>
      <w:r>
        <w:rPr>
          <w:sz w:val="28"/>
        </w:rPr>
        <w:t>7.  Davidovici BB, Sattar N, Jörg PC, et al. Psoriasis and systemic inflammatory diseases. J Invest Dermatol. 2010;130(7):1785–1796.</w:t>
      </w:r>
    </w:p>
    <w:p w14:paraId="324D6A59">
      <w:pPr>
        <w:spacing w:after="80" w:line="480" w:lineRule="auto"/>
        <w:ind w:left="480" w:hanging="480"/>
        <w:rPr>
          <w:sz w:val="28"/>
        </w:rPr>
      </w:pPr>
      <w:r>
        <w:rPr>
          <w:sz w:val="28"/>
        </w:rPr>
        <w:t>8.  Gottlieb AB, Chao C, Dann F. Psoriasis comorbidities. J Dermatolog Treat. 2008;19(1):5–21.</w:t>
      </w:r>
    </w:p>
    <w:p w14:paraId="6C9EB672">
      <w:pPr>
        <w:spacing w:after="80" w:line="480" w:lineRule="auto"/>
        <w:ind w:left="480" w:hanging="480"/>
        <w:rPr>
          <w:sz w:val="28"/>
        </w:rPr>
      </w:pPr>
      <w:r>
        <w:rPr>
          <w:sz w:val="28"/>
        </w:rPr>
        <w:t>9.  Alberti KGMM, Eckel RH, Grundy SM, et al. Harmonizing the metabolic syndrome. Circulation. 2009;120(16):1640–1645.</w:t>
      </w:r>
    </w:p>
    <w:p w14:paraId="4F6F39E9">
      <w:pPr>
        <w:spacing w:after="80" w:line="480" w:lineRule="auto"/>
        <w:ind w:left="480" w:hanging="480"/>
        <w:rPr>
          <w:sz w:val="28"/>
        </w:rPr>
      </w:pPr>
      <w:r>
        <w:rPr>
          <w:sz w:val="28"/>
        </w:rPr>
        <w:t>10.  Grundy SM, Cleeman JI, Daniels SR, et al. Diagnosis and management of the metabolic syndrome. Circulation. 2005;112(17):2735–2752.</w:t>
      </w:r>
    </w:p>
    <w:p w14:paraId="06B228F6">
      <w:pPr>
        <w:spacing w:after="80" w:line="480" w:lineRule="auto"/>
        <w:ind w:left="480" w:hanging="480"/>
        <w:rPr>
          <w:sz w:val="28"/>
        </w:rPr>
      </w:pPr>
      <w:r>
        <w:rPr>
          <w:sz w:val="28"/>
        </w:rPr>
        <w:t>11.  Reaven GM. Banting lecture 1988: role of insulin resistance in human disease. Diabetes. 1988;37(12):1595–1607.</w:t>
      </w:r>
    </w:p>
    <w:p w14:paraId="1E26653E">
      <w:pPr>
        <w:spacing w:after="80" w:line="480" w:lineRule="auto"/>
        <w:ind w:left="480" w:hanging="480"/>
        <w:rPr>
          <w:sz w:val="28"/>
        </w:rPr>
      </w:pPr>
      <w:r>
        <w:rPr>
          <w:sz w:val="28"/>
        </w:rPr>
        <w:t>12.  Aguilar M, Bhuket T, Torres S, Liu B, Wong RJ. Prevalence of the metabolic syndrome in the United States, 2003–2012. JAMA. 2015;313(19):1973–1974.</w:t>
      </w:r>
    </w:p>
    <w:p w14:paraId="42FAA7BF">
      <w:pPr>
        <w:spacing w:after="80" w:line="480" w:lineRule="auto"/>
        <w:ind w:left="480" w:hanging="480"/>
        <w:rPr>
          <w:sz w:val="28"/>
        </w:rPr>
      </w:pPr>
      <w:r>
        <w:rPr>
          <w:sz w:val="28"/>
        </w:rPr>
        <w:t>13.  Misra A, Khurana L. The metabolic syndrome in South Asians. Metab Syndr Relat Disord. 2009;7(6):497–514.</w:t>
      </w:r>
    </w:p>
    <w:p w14:paraId="2263DEDD">
      <w:pPr>
        <w:spacing w:after="80" w:line="480" w:lineRule="auto"/>
        <w:ind w:left="480" w:hanging="480"/>
        <w:rPr>
          <w:sz w:val="28"/>
        </w:rPr>
      </w:pPr>
      <w:r>
        <w:rPr>
          <w:sz w:val="28"/>
        </w:rPr>
        <w:t>14.  Sabawoon W, Sediqi MF, Rahimi BA. Prevalence of metabolic syndrome among adults in Kabul, Afghanistan [Local report]. 2013.</w:t>
      </w:r>
    </w:p>
    <w:p w14:paraId="5B64AE80">
      <w:pPr>
        <w:spacing w:after="80" w:line="480" w:lineRule="auto"/>
        <w:ind w:left="480" w:hanging="480"/>
        <w:rPr>
          <w:sz w:val="28"/>
        </w:rPr>
      </w:pPr>
      <w:r>
        <w:rPr>
          <w:sz w:val="28"/>
        </w:rPr>
        <w:t>15.  Kershaw EE, Flier JS. Adipose tissue as an endocrine organ. J Clin Endocrinol Metab. 2004;89(6):2548–2556.</w:t>
      </w:r>
    </w:p>
    <w:p w14:paraId="51049766">
      <w:pPr>
        <w:spacing w:after="80" w:line="480" w:lineRule="auto"/>
        <w:ind w:left="480" w:hanging="480"/>
        <w:rPr>
          <w:sz w:val="28"/>
        </w:rPr>
      </w:pPr>
      <w:r>
        <w:rPr>
          <w:sz w:val="28"/>
        </w:rPr>
        <w:t>16.  Ouchi N, Parker JL, Lugus JJ, Walsh K. Adipokines in inflammation and metabolic disease. Nat Rev Immunol. 2011;11(2):85–97.</w:t>
      </w:r>
    </w:p>
    <w:p w14:paraId="72543833">
      <w:pPr>
        <w:spacing w:after="80" w:line="480" w:lineRule="auto"/>
        <w:ind w:left="480" w:hanging="480"/>
        <w:rPr>
          <w:sz w:val="28"/>
        </w:rPr>
      </w:pPr>
      <w:r>
        <w:rPr>
          <w:sz w:val="28"/>
        </w:rPr>
        <w:t>17.  Ahlehoff O, Gislason GH, Charlot M, et al. Psoriasis is associated with clinically significant cardiovascular risk. J Intern Med. 2011;270(2):147–157.</w:t>
      </w:r>
    </w:p>
    <w:p w14:paraId="7A625E14">
      <w:pPr>
        <w:spacing w:after="80" w:line="480" w:lineRule="auto"/>
        <w:ind w:left="480" w:hanging="480"/>
        <w:rPr>
          <w:sz w:val="28"/>
        </w:rPr>
      </w:pPr>
      <w:r>
        <w:rPr>
          <w:sz w:val="28"/>
        </w:rPr>
        <w:t>18.  Gelfand JM, Neimann AL, Shin DB, et al. Risk of myocardial infarction in patients with psoriasis. JAMA. 2006;296(14):1735–1741.</w:t>
      </w:r>
    </w:p>
    <w:p w14:paraId="61D350EB">
      <w:pPr>
        <w:spacing w:after="80" w:line="480" w:lineRule="auto"/>
        <w:ind w:left="480" w:hanging="480"/>
        <w:rPr>
          <w:sz w:val="28"/>
        </w:rPr>
      </w:pPr>
      <w:r>
        <w:rPr>
          <w:sz w:val="28"/>
        </w:rPr>
        <w:t>19.  Salunke AS, Nagargoje MV, Supekar BB, et al. Association of metabolic syndrome in patients with psoriasis. Indian Dermatol Online J. 2017;8(3):185–190.</w:t>
      </w:r>
    </w:p>
    <w:p w14:paraId="0C1DDE23">
      <w:pPr>
        <w:spacing w:after="80" w:line="480" w:lineRule="auto"/>
        <w:ind w:left="480" w:hanging="480"/>
        <w:rPr>
          <w:sz w:val="28"/>
        </w:rPr>
      </w:pPr>
      <w:r>
        <w:rPr>
          <w:sz w:val="28"/>
        </w:rPr>
        <w:t>20.  Farshchian M, Zamanian A, Farshchian M, et al. Metabolic syndrome in patients with psoriasis. J Pak Med Assoc. 2011;61(12):1165–1168.</w:t>
      </w:r>
    </w:p>
    <w:p w14:paraId="36AEF858">
      <w:pPr>
        <w:spacing w:after="80" w:line="480" w:lineRule="auto"/>
        <w:ind w:left="480" w:hanging="480"/>
        <w:rPr>
          <w:sz w:val="28"/>
        </w:rPr>
      </w:pPr>
      <w:r>
        <w:rPr>
          <w:sz w:val="28"/>
        </w:rPr>
        <w:t>21.  Akcali C, Buyukcelik B, Kirtak N, Inaloz S. Clinical and laboratory parameters associated with metabolic syndrome in Turkish patients with psoriasis. J Int Med Res. 2014;42(2):386–394.</w:t>
      </w:r>
    </w:p>
    <w:p w14:paraId="1C428BB8">
      <w:pPr>
        <w:spacing w:after="80" w:line="480" w:lineRule="auto"/>
        <w:ind w:left="480" w:hanging="480"/>
        <w:rPr>
          <w:sz w:val="28"/>
        </w:rPr>
      </w:pPr>
      <w:r>
        <w:rPr>
          <w:sz w:val="28"/>
        </w:rPr>
        <w:t>22.  Henseler T, Christophers E. Psoriasis of early and late onset. J Am Acad Dermatol. 1985;13(3):450–456.</w:t>
      </w:r>
    </w:p>
    <w:p w14:paraId="0DD323E9">
      <w:pPr>
        <w:spacing w:after="80" w:line="480" w:lineRule="auto"/>
        <w:ind w:left="480" w:hanging="480"/>
        <w:rPr>
          <w:sz w:val="28"/>
        </w:rPr>
      </w:pPr>
      <w:r>
        <w:rPr>
          <w:sz w:val="28"/>
        </w:rPr>
        <w:t>23.  Gaffen SL, Jain R, Garg AV, Cua DJ. The IL-23–IL-17 immune axis. Nat Rev Immunol. 2014;14(9):585–600.</w:t>
      </w:r>
    </w:p>
    <w:p w14:paraId="49137EC1">
      <w:pPr>
        <w:spacing w:after="80" w:line="480" w:lineRule="auto"/>
        <w:ind w:left="480" w:hanging="480"/>
        <w:rPr>
          <w:sz w:val="28"/>
        </w:rPr>
      </w:pPr>
      <w:r>
        <w:rPr>
          <w:sz w:val="28"/>
        </w:rPr>
        <w:t>24.  Delavari A, Forouzanfar MH, Alikhani S, et al. Prevalence of the metabolic syndrome in the Middle East. Diabetes Care. 2009;32(6):1092–1097.</w:t>
      </w:r>
    </w:p>
    <w:p w14:paraId="2941517A">
      <w:pPr>
        <w:spacing w:after="80" w:line="480" w:lineRule="auto"/>
        <w:ind w:left="480" w:hanging="480"/>
        <w:rPr>
          <w:sz w:val="28"/>
        </w:rPr>
      </w:pPr>
      <w:r>
        <w:rPr>
          <w:sz w:val="28"/>
        </w:rPr>
        <w:t>25.  Coimbra S, Oliveira H, Reis F, et al. IL-22, IL-17, IL-23, IL-8 and TNF-α in patients with psoriasis. Clin Exp Dermatol. 2010;35(6):642–647.</w:t>
      </w:r>
    </w:p>
    <w:p w14:paraId="788C42AB">
      <w:pPr>
        <w:spacing w:after="80" w:line="480" w:lineRule="auto"/>
        <w:ind w:left="480" w:hanging="480"/>
        <w:rPr>
          <w:sz w:val="28"/>
        </w:rPr>
      </w:pPr>
      <w:r>
        <w:rPr>
          <w:sz w:val="28"/>
        </w:rPr>
        <w:t>26.  Nair RP, Duffin KC, Helms C, et al. Genome-wide scan reveals association of psoriasis with IL-23 and NF-κB pathways. Nat Genet. 2009;41(2):199–204.</w:t>
      </w:r>
    </w:p>
    <w:p w14:paraId="636DD303">
      <w:pPr>
        <w:spacing w:after="80" w:line="480" w:lineRule="auto"/>
        <w:ind w:left="480" w:hanging="480"/>
        <w:rPr>
          <w:sz w:val="28"/>
        </w:rPr>
      </w:pPr>
      <w:r>
        <w:rPr>
          <w:sz w:val="28"/>
        </w:rPr>
        <w:t>27.  Tsoi LC, Spain SL, Ellinghaus E, et al. Five new psoriasis susceptibility loci. Nat Commun. 2015;6:7001.</w:t>
      </w:r>
    </w:p>
    <w:p w14:paraId="370CAF73">
      <w:pPr>
        <w:spacing w:after="80" w:line="480" w:lineRule="auto"/>
        <w:ind w:left="480" w:hanging="480"/>
        <w:rPr>
          <w:sz w:val="28"/>
        </w:rPr>
      </w:pPr>
      <w:r>
        <w:rPr>
          <w:sz w:val="28"/>
        </w:rPr>
        <w:t>28.  Griffiths CEM, Barker JN. Pathogenesis and clinical features of psoriasis. Lancet. 2007;370(9583):263–271.</w:t>
      </w:r>
    </w:p>
    <w:p w14:paraId="4F09BB7D">
      <w:pPr>
        <w:spacing w:after="80" w:line="480" w:lineRule="auto"/>
        <w:ind w:left="480" w:hanging="480"/>
        <w:rPr>
          <w:sz w:val="28"/>
        </w:rPr>
      </w:pPr>
      <w:r>
        <w:rPr>
          <w:sz w:val="28"/>
        </w:rPr>
        <w:t>29.  Langan SM, Seminara NM, Bhatt DL, et al. Prevalence of metabolic syndrome in patients with psoriasis in the UK. J Invest Dermatol. 2012;132(3):556–562.</w:t>
      </w:r>
    </w:p>
    <w:p w14:paraId="7762EF1F">
      <w:pPr>
        <w:spacing w:after="80" w:line="480" w:lineRule="auto"/>
        <w:ind w:left="480" w:hanging="480"/>
        <w:rPr>
          <w:sz w:val="28"/>
        </w:rPr>
      </w:pPr>
      <w:r>
        <w:rPr>
          <w:sz w:val="28"/>
        </w:rPr>
        <w:t>30.  Kelsey JL, Whittemore AS, Evans AS, Thompson WD. Methods in Observational Epidemiology. 2nd ed. Oxford University Press; 1996.</w:t>
      </w:r>
    </w:p>
    <w:p w14:paraId="1B04EECB">
      <w:pPr>
        <w:spacing w:after="80" w:line="480" w:lineRule="auto"/>
        <w:ind w:left="480" w:hanging="480"/>
        <w:rPr>
          <w:sz w:val="28"/>
        </w:rPr>
      </w:pPr>
      <w:r>
        <w:rPr>
          <w:sz w:val="28"/>
        </w:rPr>
        <w:t>31.  Boehncke WH, Boehncke S, Tobin AM, Kirby B. The 'psoriatic march'. Exp Dermatol. 2011;20(4):303–307.</w:t>
      </w:r>
    </w:p>
    <w:p w14:paraId="3120C309">
      <w:pPr>
        <w:spacing w:after="80" w:line="480" w:lineRule="auto"/>
        <w:ind w:left="480" w:hanging="480"/>
        <w:rPr>
          <w:sz w:val="28"/>
        </w:rPr>
      </w:pPr>
      <w:r>
        <w:rPr>
          <w:sz w:val="28"/>
        </w:rPr>
        <w:t>32.  Gisondi P, Tessari G, Conti A, et al. Prevalence of metabolic syndrome in patients with psoriasis: a hospital-based case-control study. Br J Dermatol. 2007;157(1):68–73.</w:t>
      </w:r>
    </w:p>
    <w:p w14:paraId="3FAE3FF9">
      <w:pPr>
        <w:spacing w:after="80" w:line="480" w:lineRule="auto"/>
        <w:ind w:left="480" w:hanging="480"/>
        <w:rPr>
          <w:sz w:val="28"/>
        </w:rPr>
      </w:pPr>
      <w:r>
        <w:rPr>
          <w:sz w:val="28"/>
        </w:rPr>
        <w:t>33.  Sommer DM, Jenisch S, Suchan M, et al. Increased prevalence of the metabolic syndrome in moderate to severe psoriasis. Arch Dermatol Res. 2006;298(7):321–328.</w:t>
      </w:r>
    </w:p>
    <w:p w14:paraId="14026B85">
      <w:pPr>
        <w:spacing w:after="80" w:line="480" w:lineRule="auto"/>
        <w:ind w:left="480" w:hanging="480"/>
        <w:rPr>
          <w:sz w:val="28"/>
        </w:rPr>
      </w:pPr>
      <w:r>
        <w:rPr>
          <w:sz w:val="28"/>
        </w:rPr>
        <w:t>34.  Neimann AL, Shin DB, Wang X, et al. Prevalence of cardiovascular risk factors in patients with psoriasis. J Am Acad Dermatol. 2006;55(5):829–835.</w:t>
      </w:r>
    </w:p>
    <w:p w14:paraId="47C493BE">
      <w:pPr>
        <w:spacing w:after="80" w:line="480" w:lineRule="auto"/>
        <w:ind w:left="480" w:hanging="480"/>
        <w:rPr>
          <w:sz w:val="28"/>
        </w:rPr>
      </w:pPr>
      <w:r>
        <w:rPr>
          <w:sz w:val="28"/>
        </w:rPr>
        <w:t>35.  Mehta NN, Azfar RS, Shin DB, et al. Patients with severe psoriasis are at increased risk of cardiovascular mortality. Am Heart J. 2010;159(6):1074–1080.</w:t>
      </w:r>
    </w:p>
    <w:p w14:paraId="58684B72">
      <w:pPr>
        <w:spacing w:after="80" w:line="480" w:lineRule="auto"/>
        <w:ind w:left="480" w:hanging="480"/>
        <w:rPr>
          <w:sz w:val="28"/>
        </w:rPr>
      </w:pPr>
      <w:r>
        <w:rPr>
          <w:sz w:val="28"/>
        </w:rPr>
        <w:t>36.  Takeshita J, Grewal S, Langan SM, et al. Psoriasis and comorbid diseases: implications for management. J Am Acad Dermatol. 2017;76(3):393–403.</w:t>
      </w:r>
    </w:p>
    <w:p w14:paraId="32CEF578">
      <w:pPr>
        <w:spacing w:after="80" w:line="480" w:lineRule="auto"/>
        <w:ind w:left="480" w:hanging="480"/>
        <w:rPr>
          <w:sz w:val="28"/>
        </w:rPr>
      </w:pPr>
      <w:r>
        <w:rPr>
          <w:sz w:val="28"/>
        </w:rPr>
        <w:t>37.  Kimball AB, Gladman D, Gelfand JM, et al. NPF clinical consensus on psoriasis comorbidities and recommendations for screening. J Am Acad Dermatol. 2008;58(6):1031–1042.</w:t>
      </w:r>
    </w:p>
    <w:p w14:paraId="355F00CD">
      <w:pPr>
        <w:spacing w:after="80" w:line="480" w:lineRule="auto"/>
        <w:ind w:left="480" w:hanging="480"/>
        <w:rPr>
          <w:sz w:val="28"/>
        </w:rPr>
      </w:pPr>
      <w:r>
        <w:rPr>
          <w:sz w:val="28"/>
        </w:rPr>
        <w:t>38.  Puig L. Obesity and psoriasis: body weight and BMI influence the response to biological treatment. J Eur Acad Dermatol Venereol. 2011;25(9):1007–1011.</w:t>
      </w:r>
    </w:p>
    <w:p w14:paraId="71408786">
      <w:pPr>
        <w:spacing w:after="80" w:line="480" w:lineRule="auto"/>
        <w:ind w:left="480" w:hanging="480"/>
        <w:rPr>
          <w:sz w:val="28"/>
        </w:rPr>
      </w:pPr>
      <w:r>
        <w:rPr>
          <w:sz w:val="28"/>
        </w:rPr>
        <w:t>39.  Malesci D, Niglio A, Mennillo GA, et al. High prevalence of metabolic syndrome in patients with psoriatic arthritis. Clin Rheumatol. 2007;26(4):498–503.</w:t>
      </w:r>
    </w:p>
    <w:p w14:paraId="6449A52A">
      <w:pPr>
        <w:spacing w:after="80" w:line="480" w:lineRule="auto"/>
        <w:ind w:left="480" w:hanging="480"/>
        <w:rPr>
          <w:sz w:val="28"/>
        </w:rPr>
      </w:pPr>
      <w:r>
        <w:rPr>
          <w:sz w:val="28"/>
        </w:rPr>
        <w:t>40.  Dreiher J, Weitzman D, Davidovici B, et al. Psoriasis and dyslipidaemia: a population-based study. Acta Derm Venereol. 2008;88(6):561–565.</w:t>
      </w:r>
    </w:p>
    <w:p w14:paraId="3261B79D">
      <w:pPr>
        <w:spacing w:after="80" w:line="480" w:lineRule="auto"/>
        <w:ind w:left="480" w:hanging="480"/>
        <w:rPr>
          <w:sz w:val="28"/>
        </w:rPr>
      </w:pPr>
      <w:r>
        <w:rPr>
          <w:sz w:val="28"/>
        </w:rPr>
        <w:t>41.  Raaby L, Ahlehoff O, de Thurah A. Psoriasis and cardiovascular events: updating the evidence. Dermatol Ther (Heidelb). 2017;7(3):359–367.</w:t>
      </w:r>
    </w:p>
    <w:p w14:paraId="78F66BE5">
      <w:pPr>
        <w:spacing w:after="80" w:line="480" w:lineRule="auto"/>
        <w:ind w:left="480" w:hanging="480"/>
        <w:rPr>
          <w:sz w:val="28"/>
        </w:rPr>
      </w:pPr>
      <w:r>
        <w:rPr>
          <w:sz w:val="28"/>
        </w:rPr>
        <w:t>42.  Kaur S, Bhalla AK, Singhi N. Prevalence of metabolic syndrome in patients with psoriasis: a study from North India. Indian J Clin Biochem. 2018;33(1):83–89.</w:t>
      </w:r>
    </w:p>
    <w:p w14:paraId="30196356">
      <w:pPr>
        <w:spacing w:after="80" w:line="480" w:lineRule="auto"/>
        <w:ind w:left="480" w:hanging="480"/>
        <w:rPr>
          <w:sz w:val="28"/>
        </w:rPr>
      </w:pPr>
      <w:r>
        <w:rPr>
          <w:sz w:val="28"/>
        </w:rPr>
        <w:t>43.  Boehncke S, Thaci D, Beschmann H, et al. Psoriasis patients show signs of insulin resistance. Br J Dermatol. 2007;157(6):1249–1251.</w:t>
      </w:r>
    </w:p>
    <w:p w14:paraId="63AB48C4">
      <w:pPr>
        <w:spacing w:after="80" w:line="480" w:lineRule="auto"/>
        <w:ind w:left="480" w:hanging="480"/>
        <w:rPr>
          <w:sz w:val="28"/>
        </w:rPr>
      </w:pPr>
      <w:r>
        <w:rPr>
          <w:sz w:val="28"/>
        </w:rPr>
        <w:t>44.  Parisi R, Webb RT, Kleyn CE, et al. Psychiatric morbidity and suicidality in patients with psoriasis. Br J Dermatol. 2019;180(1):108–115.</w:t>
      </w:r>
    </w:p>
    <w:p w14:paraId="6AD5C88D">
      <w:pPr>
        <w:spacing w:after="80" w:line="480" w:lineRule="auto"/>
        <w:ind w:left="480" w:hanging="480"/>
        <w:rPr>
          <w:sz w:val="28"/>
        </w:rPr>
      </w:pPr>
      <w:r>
        <w:rPr>
          <w:sz w:val="28"/>
        </w:rPr>
        <w:t>45.  Dogra S, Yadav S. Psoriasis in India: prevalence and pattern. Indian J Dermatol Venereol Leprol. 2010;76(6):595–601.</w:t>
      </w:r>
    </w:p>
    <w:p w14:paraId="0875A7C1">
      <w:pPr>
        <w:spacing w:after="80" w:line="480" w:lineRule="auto"/>
        <w:ind w:left="480" w:hanging="480"/>
        <w:rPr>
          <w:sz w:val="28"/>
        </w:rPr>
      </w:pPr>
      <w:r>
        <w:rPr>
          <w:sz w:val="28"/>
        </w:rPr>
        <w:t>46.  Azfar RS, Gelfand JM. Psoriasis and metabolic disease: epidemiology and pathophysiology. Curr Opin Rheumatol. 2008;20(4):416–422.</w:t>
      </w:r>
    </w:p>
    <w:p w14:paraId="44E190A8">
      <w:pPr>
        <w:spacing w:after="80" w:line="480" w:lineRule="auto"/>
        <w:ind w:left="480" w:hanging="480"/>
        <w:rPr>
          <w:sz w:val="28"/>
        </w:rPr>
      </w:pPr>
      <w:r>
        <w:rPr>
          <w:sz w:val="28"/>
        </w:rPr>
        <w:t>47.  International Diabetes Federation. The IDF Consensus Worldwide Definition of the Metabolic Syndrome. Brussels: IDF; 2006.</w:t>
      </w:r>
    </w:p>
    <w:p w14:paraId="3F7D7434">
      <w:pPr>
        <w:spacing w:after="80" w:line="480" w:lineRule="auto"/>
        <w:ind w:left="480" w:hanging="480"/>
        <w:rPr>
          <w:sz w:val="28"/>
        </w:rPr>
      </w:pPr>
      <w:r>
        <w:rPr>
          <w:sz w:val="28"/>
        </w:rPr>
        <w:t>48.  World Medical Association. Declaration of Helsinki: ethical principles for medical research involving human subjects. JAMA. 2013;310(20):2191–2194.</w:t>
      </w:r>
    </w:p>
    <w:p w14:paraId="2C47C5B9">
      <w:pPr>
        <w:spacing w:after="80" w:line="480" w:lineRule="auto"/>
        <w:ind w:left="480" w:hanging="480"/>
        <w:rPr>
          <w:sz w:val="28"/>
        </w:rPr>
      </w:pPr>
      <w:r>
        <w:rPr>
          <w:sz w:val="28"/>
        </w:rPr>
        <w:t>49.  Friedewald WT, Levy RI, Fredrickson DS. Estimation of LDL cholesterol in plasma. Clin Chem. 1972;18(6):499–502.</w:t>
      </w:r>
    </w:p>
    <w:p w14:paraId="315AE549">
      <w:pPr>
        <w:spacing w:after="80" w:line="480" w:lineRule="auto"/>
        <w:ind w:left="480" w:hanging="480"/>
        <w:rPr>
          <w:sz w:val="28"/>
        </w:rPr>
      </w:pPr>
      <w:r>
        <w:rPr>
          <w:sz w:val="28"/>
        </w:rPr>
        <w:t>50.  Scuteri A, Laurent S, Cucca F, et al. Metabolic syndrome across Europe: a cluster analysis. J Hypertens. 2015;33(8):1632–1641.</w:t>
      </w:r>
    </w:p>
    <w:p w14:paraId="4EEBF1C3">
      <w:pPr>
        <w:spacing w:after="80" w:line="480" w:lineRule="auto"/>
        <w:ind w:left="480" w:hanging="480"/>
        <w:rPr>
          <w:sz w:val="28"/>
        </w:rPr>
      </w:pPr>
      <w:r>
        <w:rPr>
          <w:sz w:val="28"/>
        </w:rPr>
        <w:t>51.  Michalek IM, Loring B, John SM. A systematic review of worldwide epidemiology of psoriasis. J Eur Acad Dermatol Venereol. 2017;31(2):205–212.</w:t>
      </w:r>
    </w:p>
    <w:p w14:paraId="6B27EA3E">
      <w:pPr>
        <w:spacing w:after="80" w:line="480" w:lineRule="auto"/>
        <w:ind w:left="480" w:hanging="480"/>
        <w:rPr>
          <w:sz w:val="28"/>
        </w:rPr>
      </w:pPr>
      <w:r>
        <w:rPr>
          <w:sz w:val="28"/>
        </w:rPr>
        <w:t>52.  Grundy SM. Metabolic syndrome pandemic. Arterioscler Thromb Vasc Biol. 2008;28(4):629–636.</w:t>
      </w:r>
    </w:p>
    <w:p w14:paraId="4E5AFD69">
      <w:pPr>
        <w:spacing w:after="80" w:line="480" w:lineRule="auto"/>
        <w:ind w:left="480" w:hanging="480"/>
        <w:rPr>
          <w:sz w:val="28"/>
        </w:rPr>
      </w:pPr>
      <w:r>
        <w:rPr>
          <w:sz w:val="28"/>
        </w:rPr>
        <w:t>53.  Daudén E, Castañeda S, Suárez C, et al. Integrated approach to comorbidity in patients with psoriasis. Actas Dermosifiliogr. 2012;103(Suppl 1):1–64.</w:t>
      </w:r>
    </w:p>
    <w:p w14:paraId="5CCD7553">
      <w:pPr>
        <w:spacing w:after="80" w:line="480" w:lineRule="auto"/>
        <w:ind w:left="480" w:hanging="480"/>
        <w:rPr>
          <w:sz w:val="28"/>
        </w:rPr>
      </w:pPr>
      <w:r>
        <w:rPr>
          <w:sz w:val="28"/>
        </w:rPr>
        <w:t>54.  Ryan C, Menter A, Guenther L, et al. Efficacy and safety of ixekizumab in psoriasis patients with diabetes. Br J Dermatol. 2018;178(6):1382–1392.</w:t>
      </w:r>
    </w:p>
    <w:p w14:paraId="2D0648C5">
      <w:pPr>
        <w:spacing w:line="360" w:lineRule="auto"/>
        <w:jc w:val="both"/>
        <w:rPr>
          <w:sz w:val="28"/>
        </w:rPr>
      </w:pPr>
      <w:r>
        <w:rPr>
          <w:sz w:val="28"/>
        </w:rPr>
        <w:br w:type="page"/>
      </w:r>
    </w:p>
    <w:p w14:paraId="51955B1E">
      <w:pPr>
        <w:pStyle w:val="2"/>
        <w:spacing w:before="400" w:after="200"/>
        <w:jc w:val="both"/>
        <w:rPr>
          <w:color w:val="000000"/>
          <w:sz w:val="30"/>
        </w:rPr>
      </w:pPr>
      <w:bookmarkStart w:id="112" w:name="__RefHeading___91940"/>
      <w:bookmarkEnd w:id="112"/>
      <w:r>
        <w:rPr>
          <w:b/>
          <w:caps/>
          <w:color w:val="000000"/>
          <w:sz w:val="30"/>
        </w:rPr>
        <w:t>Appendices</w:t>
      </w:r>
    </w:p>
    <w:p w14:paraId="3ED4FB43">
      <w:pPr>
        <w:pStyle w:val="2"/>
        <w:spacing w:before="400" w:after="200"/>
        <w:jc w:val="both"/>
        <w:rPr>
          <w:color w:val="000000"/>
          <w:sz w:val="30"/>
        </w:rPr>
      </w:pPr>
      <w:bookmarkStart w:id="113" w:name="__RefHeading___91941"/>
      <w:bookmarkEnd w:id="113"/>
      <w:r>
        <w:rPr>
          <w:b/>
          <w:color w:val="000000"/>
          <w:sz w:val="36"/>
        </w:rPr>
        <w:t>__________________________________________________</w:t>
      </w:r>
    </w:p>
    <w:p w14:paraId="6EC405D1">
      <w:pPr>
        <w:pStyle w:val="3"/>
        <w:spacing w:line="360" w:lineRule="auto"/>
        <w:jc w:val="both"/>
        <w:rPr>
          <w:sz w:val="28"/>
        </w:rPr>
      </w:pPr>
      <w:bookmarkStart w:id="114" w:name="__RefHeading___91942"/>
      <w:bookmarkEnd w:id="114"/>
      <w:r>
        <w:rPr>
          <w:sz w:val="28"/>
        </w:rPr>
        <w:t>Appendix I: Participant Information Sheet and Informed Consent Form</w:t>
      </w:r>
    </w:p>
    <w:p w14:paraId="7C7F5C0D">
      <w:pPr>
        <w:spacing w:after="160" w:line="360" w:lineRule="auto"/>
        <w:jc w:val="both"/>
        <w:rPr>
          <w:sz w:val="28"/>
        </w:rPr>
      </w:pPr>
      <w:r>
        <w:rPr>
          <w:sz w:val="28"/>
        </w:rPr>
        <w:t>(Sample — to be reproduced in Dari and Pashto for study use)</w:t>
      </w:r>
    </w:p>
    <w:p w14:paraId="0B0C0D6B">
      <w:pPr>
        <w:spacing w:line="360" w:lineRule="auto"/>
        <w:jc w:val="both"/>
        <w:rPr>
          <w:sz w:val="28"/>
        </w:rPr>
      </w:pPr>
    </w:p>
    <w:p w14:paraId="750E5DC9">
      <w:pPr>
        <w:spacing w:after="160" w:line="360" w:lineRule="auto"/>
        <w:jc w:val="both"/>
        <w:rPr>
          <w:b/>
          <w:sz w:val="28"/>
        </w:rPr>
      </w:pPr>
      <w:r>
        <w:rPr>
          <w:b/>
          <w:sz w:val="28"/>
        </w:rPr>
        <w:t>Study Title: The Interplay of Chronic Inflammation and Cardiometabolic Risk: A Case-Control Study on Metabolic Syndrome and Psoriasis in Faryab Province, Afghanistan (2024–2026)</w:t>
      </w:r>
    </w:p>
    <w:p w14:paraId="44802D92">
      <w:pPr>
        <w:spacing w:after="160" w:line="360" w:lineRule="auto"/>
        <w:jc w:val="both"/>
        <w:rPr>
          <w:sz w:val="28"/>
        </w:rPr>
      </w:pPr>
      <w:r>
        <w:rPr>
          <w:sz w:val="28"/>
        </w:rPr>
        <w:t>Principal Investigator: Sayed Ruhullah Dimral, Department of Epidemiology, Faryab State Hospital / I.M. Sechenov First Moscow State Medical University</w:t>
      </w:r>
    </w:p>
    <w:p w14:paraId="6753B80F">
      <w:pPr>
        <w:spacing w:after="160" w:line="360" w:lineRule="auto"/>
        <w:jc w:val="both"/>
        <w:rPr>
          <w:sz w:val="28"/>
        </w:rPr>
      </w:pPr>
      <w:r>
        <w:rPr>
          <w:sz w:val="28"/>
        </w:rPr>
        <w:t>You are being invited to take part in a research study. Before you decide whether to participate, it is important for you to understand why the research is being done and what it will involve. Please take time to read the following information carefully.</w:t>
      </w:r>
    </w:p>
    <w:p w14:paraId="64B4F04F">
      <w:pPr>
        <w:spacing w:after="160" w:line="360" w:lineRule="auto"/>
        <w:jc w:val="both"/>
        <w:rPr>
          <w:sz w:val="28"/>
        </w:rPr>
      </w:pPr>
      <w:r>
        <w:rPr>
          <w:sz w:val="28"/>
        </w:rPr>
        <w:t>The purpose of this study is to investigate whether patients with psoriasis have a higher chance of having a group of health problems (called metabolic syndrome) that increases the risk of heart disease and diabetes. Participation involves a short interview, a physical examination (weight, height, waist measurement, blood pressure), and a blood test after overnight fasting. Participation is entirely voluntary. You may withdraw at any time without affecting your care. Your personal information will be kept strictly confidential.</w:t>
      </w:r>
    </w:p>
    <w:p w14:paraId="42C7EA9D">
      <w:pPr>
        <w:spacing w:line="360" w:lineRule="auto"/>
        <w:jc w:val="both"/>
        <w:rPr>
          <w:sz w:val="28"/>
        </w:rPr>
      </w:pPr>
    </w:p>
    <w:p w14:paraId="796A2982">
      <w:pPr>
        <w:spacing w:line="360" w:lineRule="auto"/>
        <w:jc w:val="both"/>
        <w:rPr>
          <w:sz w:val="28"/>
        </w:rPr>
      </w:pPr>
    </w:p>
    <w:p w14:paraId="5B3A0E8C">
      <w:pPr>
        <w:spacing w:line="360" w:lineRule="auto"/>
        <w:jc w:val="both"/>
        <w:rPr>
          <w:sz w:val="28"/>
        </w:rPr>
      </w:pPr>
    </w:p>
    <w:p w14:paraId="666A17E8">
      <w:pPr>
        <w:spacing w:line="360" w:lineRule="auto"/>
        <w:jc w:val="both"/>
        <w:rPr>
          <w:sz w:val="28"/>
        </w:rPr>
      </w:pPr>
    </w:p>
    <w:p w14:paraId="12C8726B">
      <w:pPr>
        <w:spacing w:line="360" w:lineRule="auto"/>
        <w:jc w:val="both"/>
        <w:rPr>
          <w:sz w:val="28"/>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0"/>
      </w:tblGrid>
      <w:tr w14:paraId="23AFC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7" w:hRule="atLeast"/>
        </w:trPr>
        <w:tc>
          <w:tcPr>
            <w:tcW w:w="9000" w:type="dxa"/>
            <w:tcBorders>
              <w:top w:val="single" w:color="000000" w:sz="4" w:space="0"/>
              <w:left w:val="single" w:color="000000" w:sz="4" w:space="0"/>
              <w:bottom w:val="single" w:color="000000" w:sz="4" w:space="0"/>
              <w:right w:val="single" w:color="000000" w:sz="4" w:space="0"/>
            </w:tcBorders>
          </w:tcPr>
          <w:p w14:paraId="768AC2E0">
            <w:pPr>
              <w:spacing w:before="80" w:after="80" w:line="360" w:lineRule="auto"/>
              <w:jc w:val="both"/>
              <w:rPr>
                <w:sz w:val="28"/>
              </w:rPr>
            </w:pPr>
            <w:r>
              <w:rPr>
                <w:b/>
                <w:sz w:val="28"/>
              </w:rPr>
              <w:t xml:space="preserve">Consent Declaration: </w:t>
            </w:r>
            <w:r>
              <w:rPr>
                <w:sz w:val="28"/>
              </w:rPr>
              <w:t>I have read (or had read to me) the above information. I understand what the study involves and I agree to take part.</w:t>
            </w:r>
          </w:p>
          <w:p w14:paraId="57E45601">
            <w:pPr>
              <w:spacing w:after="160" w:line="360" w:lineRule="auto"/>
              <w:jc w:val="both"/>
              <w:rPr>
                <w:sz w:val="28"/>
              </w:rPr>
            </w:pPr>
            <w:r>
              <w:rPr>
                <w:sz w:val="28"/>
              </w:rPr>
              <w:t>Participant signature / witnessed verbal consent:</w:t>
            </w:r>
          </w:p>
          <w:p w14:paraId="7121B462">
            <w:pPr>
              <w:spacing w:after="160" w:line="360" w:lineRule="auto"/>
              <w:jc w:val="both"/>
              <w:rPr>
                <w:sz w:val="28"/>
              </w:rPr>
            </w:pPr>
            <w:r>
              <w:rPr>
                <w:sz w:val="28"/>
              </w:rPr>
              <w:t xml:space="preserve"> ______________________   Date: ____________</w:t>
            </w:r>
          </w:p>
        </w:tc>
      </w:tr>
    </w:tbl>
    <w:p w14:paraId="3D1519BF">
      <w:pPr>
        <w:spacing w:line="360" w:lineRule="auto"/>
        <w:jc w:val="both"/>
        <w:rPr>
          <w:sz w:val="28"/>
        </w:rPr>
      </w:pPr>
    </w:p>
    <w:p w14:paraId="4750CB91">
      <w:pPr>
        <w:spacing w:line="360" w:lineRule="auto"/>
        <w:jc w:val="both"/>
        <w:rPr>
          <w:sz w:val="28"/>
        </w:rPr>
      </w:pPr>
    </w:p>
    <w:p w14:paraId="0D17CBA4">
      <w:pPr>
        <w:spacing w:line="360" w:lineRule="auto"/>
        <w:jc w:val="both"/>
        <w:rPr>
          <w:sz w:val="28"/>
        </w:rPr>
      </w:pPr>
    </w:p>
    <w:p w14:paraId="3D75F318">
      <w:pPr>
        <w:spacing w:line="360" w:lineRule="auto"/>
        <w:jc w:val="both"/>
        <w:rPr>
          <w:sz w:val="28"/>
        </w:rPr>
      </w:pPr>
    </w:p>
    <w:p w14:paraId="4F27A629">
      <w:pPr>
        <w:spacing w:line="360" w:lineRule="auto"/>
        <w:jc w:val="both"/>
        <w:rPr>
          <w:sz w:val="28"/>
        </w:rPr>
      </w:pPr>
    </w:p>
    <w:p w14:paraId="11A378AD">
      <w:pPr>
        <w:spacing w:line="360" w:lineRule="auto"/>
        <w:jc w:val="both"/>
        <w:rPr>
          <w:sz w:val="28"/>
        </w:rPr>
      </w:pPr>
    </w:p>
    <w:p w14:paraId="66B2D8F7">
      <w:pPr>
        <w:spacing w:line="360" w:lineRule="auto"/>
        <w:jc w:val="both"/>
        <w:rPr>
          <w:sz w:val="28"/>
        </w:rPr>
      </w:pPr>
    </w:p>
    <w:p w14:paraId="57F5EC41">
      <w:pPr>
        <w:spacing w:line="360" w:lineRule="auto"/>
        <w:jc w:val="both"/>
        <w:rPr>
          <w:sz w:val="28"/>
        </w:rPr>
      </w:pPr>
    </w:p>
    <w:p w14:paraId="414D12AE">
      <w:pPr>
        <w:spacing w:line="360" w:lineRule="auto"/>
        <w:jc w:val="both"/>
        <w:rPr>
          <w:sz w:val="28"/>
        </w:rPr>
      </w:pPr>
    </w:p>
    <w:p w14:paraId="6ED828DE">
      <w:pPr>
        <w:spacing w:line="360" w:lineRule="auto"/>
        <w:jc w:val="both"/>
        <w:rPr>
          <w:sz w:val="28"/>
        </w:rPr>
      </w:pPr>
    </w:p>
    <w:p w14:paraId="3DF52127">
      <w:pPr>
        <w:spacing w:line="360" w:lineRule="auto"/>
        <w:jc w:val="both"/>
        <w:rPr>
          <w:sz w:val="28"/>
        </w:rPr>
      </w:pPr>
    </w:p>
    <w:p w14:paraId="6C13A102">
      <w:pPr>
        <w:spacing w:line="360" w:lineRule="auto"/>
        <w:jc w:val="both"/>
        <w:rPr>
          <w:sz w:val="28"/>
        </w:rPr>
      </w:pPr>
    </w:p>
    <w:p w14:paraId="77CD771F">
      <w:pPr>
        <w:spacing w:line="360" w:lineRule="auto"/>
        <w:jc w:val="both"/>
        <w:rPr>
          <w:sz w:val="28"/>
        </w:rPr>
      </w:pPr>
    </w:p>
    <w:p w14:paraId="0CB727D3">
      <w:pPr>
        <w:spacing w:line="360" w:lineRule="auto"/>
        <w:jc w:val="both"/>
        <w:rPr>
          <w:sz w:val="28"/>
        </w:rPr>
      </w:pPr>
    </w:p>
    <w:p w14:paraId="27FEFD18">
      <w:pPr>
        <w:spacing w:line="360" w:lineRule="auto"/>
        <w:jc w:val="both"/>
        <w:rPr>
          <w:sz w:val="28"/>
        </w:rPr>
      </w:pPr>
    </w:p>
    <w:p w14:paraId="2DE9ED87">
      <w:pPr>
        <w:spacing w:line="360" w:lineRule="auto"/>
        <w:jc w:val="both"/>
        <w:rPr>
          <w:sz w:val="28"/>
        </w:rPr>
      </w:pPr>
    </w:p>
    <w:p w14:paraId="7358205B">
      <w:pPr>
        <w:spacing w:line="360" w:lineRule="auto"/>
        <w:jc w:val="both"/>
        <w:rPr>
          <w:sz w:val="28"/>
        </w:rPr>
      </w:pPr>
    </w:p>
    <w:p w14:paraId="0F034311">
      <w:pPr>
        <w:spacing w:line="360" w:lineRule="auto"/>
        <w:jc w:val="both"/>
        <w:rPr>
          <w:sz w:val="28"/>
          <w:lang w:val="tr-TR"/>
        </w:rPr>
      </w:pPr>
    </w:p>
    <w:p w14:paraId="563BE8C6">
      <w:pPr>
        <w:pStyle w:val="3"/>
        <w:spacing w:line="360" w:lineRule="auto"/>
        <w:jc w:val="both"/>
        <w:rPr>
          <w:sz w:val="28"/>
        </w:rPr>
      </w:pPr>
      <w:bookmarkStart w:id="115" w:name="__RefHeading___91943"/>
      <w:bookmarkEnd w:id="115"/>
      <w:r>
        <w:rPr>
          <w:sz w:val="28"/>
        </w:rPr>
        <w:t>Appendix II: Data Collection Questionnaire (Summary)</w:t>
      </w:r>
    </w:p>
    <w:p w14:paraId="095B09F7">
      <w:pPr>
        <w:spacing w:after="160" w:line="360" w:lineRule="auto"/>
        <w:jc w:val="both"/>
        <w:rPr>
          <w:sz w:val="28"/>
        </w:rPr>
      </w:pPr>
      <w:r>
        <w:rPr>
          <w:sz w:val="28"/>
        </w:rPr>
        <w:t>Section A — Socio-Demographic Information</w:t>
      </w:r>
    </w:p>
    <w:p w14:paraId="6476FB3B">
      <w:pPr>
        <w:pStyle w:val="38"/>
        <w:numPr>
          <w:ilvl w:val="0"/>
          <w:numId w:val="3"/>
        </w:numPr>
        <w:spacing w:before="60" w:after="60" w:line="360" w:lineRule="auto"/>
        <w:ind w:firstLine="0"/>
        <w:jc w:val="both"/>
        <w:rPr>
          <w:sz w:val="28"/>
        </w:rPr>
      </w:pPr>
      <w:r>
        <w:rPr>
          <w:sz w:val="28"/>
        </w:rPr>
        <w:t>Participant ID number:</w:t>
      </w:r>
    </w:p>
    <w:p w14:paraId="5D011DCB">
      <w:pPr>
        <w:pStyle w:val="38"/>
        <w:numPr>
          <w:ilvl w:val="0"/>
          <w:numId w:val="3"/>
        </w:numPr>
        <w:spacing w:before="60" w:after="60" w:line="360" w:lineRule="auto"/>
        <w:ind w:firstLine="0"/>
        <w:jc w:val="both"/>
        <w:rPr>
          <w:sz w:val="28"/>
        </w:rPr>
      </w:pPr>
      <w:r>
        <w:rPr>
          <w:sz w:val="28"/>
        </w:rPr>
        <w:t>Date of enrolment:</w:t>
      </w:r>
    </w:p>
    <w:p w14:paraId="72ADEA32">
      <w:pPr>
        <w:pStyle w:val="38"/>
        <w:numPr>
          <w:ilvl w:val="0"/>
          <w:numId w:val="3"/>
        </w:numPr>
        <w:spacing w:before="60" w:after="60" w:line="360" w:lineRule="auto"/>
        <w:ind w:firstLine="0"/>
        <w:jc w:val="both"/>
        <w:rPr>
          <w:sz w:val="28"/>
        </w:rPr>
      </w:pPr>
      <w:r>
        <w:rPr>
          <w:sz w:val="28"/>
        </w:rPr>
        <w:t>Group (case/control):</w:t>
      </w:r>
    </w:p>
    <w:p w14:paraId="38D1BBAF">
      <w:pPr>
        <w:pStyle w:val="38"/>
        <w:numPr>
          <w:ilvl w:val="0"/>
          <w:numId w:val="3"/>
        </w:numPr>
        <w:spacing w:before="60" w:after="60" w:line="360" w:lineRule="auto"/>
        <w:ind w:firstLine="0"/>
        <w:jc w:val="both"/>
        <w:rPr>
          <w:sz w:val="28"/>
        </w:rPr>
      </w:pPr>
      <w:r>
        <w:rPr>
          <w:sz w:val="28"/>
        </w:rPr>
        <w:t>Age (years):</w:t>
      </w:r>
    </w:p>
    <w:p w14:paraId="696680D8">
      <w:pPr>
        <w:pStyle w:val="38"/>
        <w:numPr>
          <w:ilvl w:val="0"/>
          <w:numId w:val="3"/>
        </w:numPr>
        <w:spacing w:before="60" w:after="60" w:line="360" w:lineRule="auto"/>
        <w:ind w:firstLine="0"/>
        <w:jc w:val="both"/>
        <w:rPr>
          <w:sz w:val="28"/>
        </w:rPr>
      </w:pPr>
      <w:r>
        <w:rPr>
          <w:sz w:val="28"/>
        </w:rPr>
        <w:t>Sex: Male / Female</w:t>
      </w:r>
    </w:p>
    <w:p w14:paraId="6D09A80D">
      <w:pPr>
        <w:pStyle w:val="38"/>
        <w:numPr>
          <w:ilvl w:val="0"/>
          <w:numId w:val="3"/>
        </w:numPr>
        <w:spacing w:before="60" w:after="60" w:line="360" w:lineRule="auto"/>
        <w:ind w:firstLine="0"/>
        <w:jc w:val="both"/>
        <w:rPr>
          <w:sz w:val="28"/>
        </w:rPr>
      </w:pPr>
      <w:r>
        <w:rPr>
          <w:sz w:val="28"/>
        </w:rPr>
        <w:t>Ethnicity: Uzbek / Tajik / Pashtun / Other</w:t>
      </w:r>
    </w:p>
    <w:p w14:paraId="033705A6">
      <w:pPr>
        <w:pStyle w:val="38"/>
        <w:numPr>
          <w:ilvl w:val="0"/>
          <w:numId w:val="3"/>
        </w:numPr>
        <w:spacing w:before="60" w:after="60" w:line="360" w:lineRule="auto"/>
        <w:ind w:firstLine="0"/>
        <w:jc w:val="both"/>
        <w:rPr>
          <w:sz w:val="28"/>
        </w:rPr>
      </w:pPr>
      <w:r>
        <w:rPr>
          <w:sz w:val="28"/>
        </w:rPr>
        <w:t>Area of residence: Urban / Rural</w:t>
      </w:r>
    </w:p>
    <w:p w14:paraId="26DFC765">
      <w:pPr>
        <w:pStyle w:val="38"/>
        <w:numPr>
          <w:ilvl w:val="0"/>
          <w:numId w:val="3"/>
        </w:numPr>
        <w:spacing w:before="60" w:after="60" w:line="360" w:lineRule="auto"/>
        <w:ind w:firstLine="0"/>
        <w:jc w:val="both"/>
        <w:rPr>
          <w:sz w:val="28"/>
        </w:rPr>
      </w:pPr>
      <w:r>
        <w:rPr>
          <w:sz w:val="28"/>
        </w:rPr>
        <w:t>Educational status: Illiterate / Literate</w:t>
      </w:r>
    </w:p>
    <w:p w14:paraId="1B56F5FC">
      <w:pPr>
        <w:spacing w:line="360" w:lineRule="auto"/>
        <w:jc w:val="both"/>
        <w:rPr>
          <w:sz w:val="28"/>
        </w:rPr>
      </w:pPr>
    </w:p>
    <w:p w14:paraId="52227DED">
      <w:pPr>
        <w:spacing w:after="160" w:line="360" w:lineRule="auto"/>
        <w:jc w:val="both"/>
        <w:rPr>
          <w:sz w:val="28"/>
        </w:rPr>
      </w:pPr>
      <w:r>
        <w:rPr>
          <w:sz w:val="28"/>
        </w:rPr>
        <w:t>Section B — Lifestyle and Psychosocial Profile</w:t>
      </w:r>
    </w:p>
    <w:p w14:paraId="1204DE1A">
      <w:pPr>
        <w:pStyle w:val="38"/>
        <w:numPr>
          <w:ilvl w:val="0"/>
          <w:numId w:val="3"/>
        </w:numPr>
        <w:spacing w:before="60" w:after="60" w:line="360" w:lineRule="auto"/>
        <w:ind w:firstLine="0"/>
        <w:jc w:val="both"/>
        <w:rPr>
          <w:sz w:val="28"/>
        </w:rPr>
      </w:pPr>
      <w:r>
        <w:rPr>
          <w:sz w:val="28"/>
        </w:rPr>
        <w:t>Smoking status: Current / Former / Never</w:t>
      </w:r>
    </w:p>
    <w:p w14:paraId="567539F4">
      <w:pPr>
        <w:pStyle w:val="38"/>
        <w:numPr>
          <w:ilvl w:val="0"/>
          <w:numId w:val="3"/>
        </w:numPr>
        <w:spacing w:before="60" w:after="60" w:line="360" w:lineRule="auto"/>
        <w:ind w:firstLine="0"/>
        <w:jc w:val="both"/>
        <w:rPr>
          <w:sz w:val="28"/>
        </w:rPr>
      </w:pPr>
      <w:r>
        <w:rPr>
          <w:sz w:val="28"/>
        </w:rPr>
        <w:t>Physical activity: Regular (≥3×/week) / Occasional / None</w:t>
      </w:r>
    </w:p>
    <w:p w14:paraId="518AD05B">
      <w:pPr>
        <w:pStyle w:val="38"/>
        <w:numPr>
          <w:ilvl w:val="0"/>
          <w:numId w:val="3"/>
        </w:numPr>
        <w:spacing w:before="60" w:after="60" w:line="360" w:lineRule="auto"/>
        <w:ind w:firstLine="0"/>
        <w:jc w:val="both"/>
        <w:rPr>
          <w:sz w:val="28"/>
        </w:rPr>
      </w:pPr>
      <w:r>
        <w:rPr>
          <w:sz w:val="28"/>
        </w:rPr>
        <w:t>Life satisfaction: Satisfied / Neither / Dissatisfied</w:t>
      </w:r>
    </w:p>
    <w:p w14:paraId="6B984562">
      <w:pPr>
        <w:pStyle w:val="38"/>
        <w:numPr>
          <w:ilvl w:val="0"/>
          <w:numId w:val="3"/>
        </w:numPr>
        <w:spacing w:before="60" w:after="60" w:line="360" w:lineRule="auto"/>
        <w:ind w:firstLine="0"/>
        <w:jc w:val="both"/>
        <w:rPr>
          <w:sz w:val="28"/>
        </w:rPr>
      </w:pPr>
      <w:r>
        <w:rPr>
          <w:sz w:val="28"/>
        </w:rPr>
        <w:t>Family history of hypertension: Yes / No</w:t>
      </w:r>
    </w:p>
    <w:p w14:paraId="0FB3B2C1">
      <w:pPr>
        <w:pStyle w:val="38"/>
        <w:numPr>
          <w:ilvl w:val="0"/>
          <w:numId w:val="3"/>
        </w:numPr>
        <w:spacing w:before="60" w:after="60" w:line="360" w:lineRule="auto"/>
        <w:ind w:firstLine="0"/>
        <w:jc w:val="both"/>
        <w:rPr>
          <w:sz w:val="28"/>
        </w:rPr>
      </w:pPr>
      <w:r>
        <w:rPr>
          <w:sz w:val="28"/>
        </w:rPr>
        <w:t>Family history of diabetes: Yes / No</w:t>
      </w:r>
    </w:p>
    <w:p w14:paraId="758EAF23">
      <w:pPr>
        <w:pStyle w:val="38"/>
        <w:numPr>
          <w:ilvl w:val="0"/>
          <w:numId w:val="3"/>
        </w:numPr>
        <w:spacing w:before="60" w:after="60" w:line="360" w:lineRule="auto"/>
        <w:ind w:firstLine="0"/>
        <w:jc w:val="both"/>
        <w:rPr>
          <w:sz w:val="28"/>
        </w:rPr>
      </w:pPr>
      <w:r>
        <w:rPr>
          <w:sz w:val="28"/>
        </w:rPr>
        <w:t>Family history of cardiovascular disease: Yes / No</w:t>
      </w:r>
    </w:p>
    <w:p w14:paraId="31215A71">
      <w:pPr>
        <w:spacing w:line="360" w:lineRule="auto"/>
        <w:jc w:val="both"/>
        <w:rPr>
          <w:sz w:val="28"/>
        </w:rPr>
      </w:pPr>
    </w:p>
    <w:p w14:paraId="235145AB">
      <w:pPr>
        <w:spacing w:after="160" w:line="360" w:lineRule="auto"/>
        <w:jc w:val="both"/>
        <w:rPr>
          <w:sz w:val="28"/>
        </w:rPr>
      </w:pPr>
      <w:r>
        <w:rPr>
          <w:sz w:val="28"/>
        </w:rPr>
        <w:t>Section C — Clinical Data (Psoriasis Cases Only)</w:t>
      </w:r>
    </w:p>
    <w:p w14:paraId="0FFA3FBB">
      <w:pPr>
        <w:pStyle w:val="38"/>
        <w:numPr>
          <w:ilvl w:val="0"/>
          <w:numId w:val="3"/>
        </w:numPr>
        <w:spacing w:before="60" w:after="60" w:line="360" w:lineRule="auto"/>
        <w:ind w:firstLine="0"/>
        <w:jc w:val="both"/>
        <w:rPr>
          <w:sz w:val="28"/>
        </w:rPr>
      </w:pPr>
      <w:r>
        <w:rPr>
          <w:sz w:val="28"/>
        </w:rPr>
        <w:t>Duration of psoriasis (years):</w:t>
      </w:r>
    </w:p>
    <w:p w14:paraId="37BCF935">
      <w:pPr>
        <w:pStyle w:val="38"/>
        <w:numPr>
          <w:ilvl w:val="0"/>
          <w:numId w:val="3"/>
        </w:numPr>
        <w:spacing w:before="60" w:after="60" w:line="360" w:lineRule="auto"/>
        <w:ind w:firstLine="0"/>
        <w:jc w:val="both"/>
        <w:rPr>
          <w:sz w:val="28"/>
        </w:rPr>
      </w:pPr>
      <w:r>
        <w:rPr>
          <w:sz w:val="28"/>
        </w:rPr>
        <w:t>PASI score (calculated):</w:t>
      </w:r>
    </w:p>
    <w:p w14:paraId="1EB4F3C2">
      <w:pPr>
        <w:pStyle w:val="38"/>
        <w:numPr>
          <w:ilvl w:val="0"/>
          <w:numId w:val="3"/>
        </w:numPr>
        <w:spacing w:before="60" w:after="60" w:line="360" w:lineRule="auto"/>
        <w:ind w:firstLine="0"/>
        <w:jc w:val="both"/>
        <w:rPr>
          <w:sz w:val="28"/>
        </w:rPr>
      </w:pPr>
      <w:r>
        <w:rPr>
          <w:sz w:val="28"/>
        </w:rPr>
        <w:t>Severity classification: Mild (PASI&lt;10) / Moderate-to-severe (PASI≥10)</w:t>
      </w:r>
    </w:p>
    <w:p w14:paraId="54C07754">
      <w:pPr>
        <w:pStyle w:val="38"/>
        <w:numPr>
          <w:ilvl w:val="0"/>
          <w:numId w:val="3"/>
        </w:numPr>
        <w:spacing w:before="60" w:after="60" w:line="360" w:lineRule="auto"/>
        <w:ind w:firstLine="0"/>
        <w:jc w:val="both"/>
        <w:rPr>
          <w:sz w:val="28"/>
        </w:rPr>
      </w:pPr>
      <w:r>
        <w:rPr>
          <w:sz w:val="28"/>
        </w:rPr>
        <w:t>Psoriatic arthritis: Yes / No</w:t>
      </w:r>
    </w:p>
    <w:p w14:paraId="7A2CB3CF">
      <w:pPr>
        <w:spacing w:line="360" w:lineRule="auto"/>
        <w:jc w:val="both"/>
        <w:rPr>
          <w:sz w:val="28"/>
        </w:rPr>
      </w:pPr>
    </w:p>
    <w:p w14:paraId="71D17406">
      <w:pPr>
        <w:spacing w:after="160" w:line="360" w:lineRule="auto"/>
        <w:jc w:val="both"/>
        <w:rPr>
          <w:sz w:val="28"/>
        </w:rPr>
      </w:pPr>
      <w:r>
        <w:rPr>
          <w:sz w:val="28"/>
        </w:rPr>
        <w:t>Section D — Physical Examination and Laboratory Results</w:t>
      </w:r>
    </w:p>
    <w:p w14:paraId="3106DDF3">
      <w:pPr>
        <w:pStyle w:val="38"/>
        <w:numPr>
          <w:ilvl w:val="0"/>
          <w:numId w:val="3"/>
        </w:numPr>
        <w:spacing w:before="60" w:after="60" w:line="360" w:lineRule="auto"/>
        <w:ind w:firstLine="0"/>
        <w:jc w:val="both"/>
        <w:rPr>
          <w:sz w:val="28"/>
        </w:rPr>
      </w:pPr>
      <w:r>
        <w:rPr>
          <w:sz w:val="28"/>
        </w:rPr>
        <w:t>Weight (kg):</w:t>
      </w:r>
    </w:p>
    <w:p w14:paraId="7B2E129E">
      <w:pPr>
        <w:pStyle w:val="38"/>
        <w:numPr>
          <w:ilvl w:val="0"/>
          <w:numId w:val="3"/>
        </w:numPr>
        <w:spacing w:before="60" w:after="60" w:line="360" w:lineRule="auto"/>
        <w:ind w:firstLine="0"/>
        <w:jc w:val="both"/>
        <w:rPr>
          <w:sz w:val="28"/>
        </w:rPr>
      </w:pPr>
      <w:r>
        <w:rPr>
          <w:sz w:val="28"/>
        </w:rPr>
        <w:t>Height (m):</w:t>
      </w:r>
    </w:p>
    <w:p w14:paraId="0BD283BA">
      <w:pPr>
        <w:pStyle w:val="38"/>
        <w:numPr>
          <w:ilvl w:val="0"/>
          <w:numId w:val="3"/>
        </w:numPr>
        <w:spacing w:before="60" w:after="60" w:line="360" w:lineRule="auto"/>
        <w:ind w:firstLine="0"/>
        <w:jc w:val="both"/>
        <w:rPr>
          <w:sz w:val="28"/>
        </w:rPr>
      </w:pPr>
      <w:r>
        <w:rPr>
          <w:sz w:val="28"/>
        </w:rPr>
        <w:t>BMI (kg/m²):</w:t>
      </w:r>
    </w:p>
    <w:p w14:paraId="1F8ACF55">
      <w:pPr>
        <w:pStyle w:val="38"/>
        <w:numPr>
          <w:ilvl w:val="0"/>
          <w:numId w:val="3"/>
        </w:numPr>
        <w:spacing w:before="60" w:after="60" w:line="360" w:lineRule="auto"/>
        <w:ind w:firstLine="0"/>
        <w:jc w:val="both"/>
        <w:rPr>
          <w:sz w:val="28"/>
        </w:rPr>
      </w:pPr>
      <w:r>
        <w:rPr>
          <w:sz w:val="28"/>
        </w:rPr>
        <w:t>Waist circumference (cm):</w:t>
      </w:r>
    </w:p>
    <w:p w14:paraId="7C94F689">
      <w:pPr>
        <w:pStyle w:val="38"/>
        <w:numPr>
          <w:ilvl w:val="0"/>
          <w:numId w:val="3"/>
        </w:numPr>
        <w:spacing w:before="60" w:after="60" w:line="360" w:lineRule="auto"/>
        <w:ind w:firstLine="0"/>
        <w:jc w:val="both"/>
        <w:rPr>
          <w:sz w:val="28"/>
        </w:rPr>
      </w:pPr>
      <w:r>
        <w:rPr>
          <w:sz w:val="28"/>
        </w:rPr>
        <w:t>Systolic blood pressure (mmHg):</w:t>
      </w:r>
    </w:p>
    <w:p w14:paraId="7FE1B147">
      <w:pPr>
        <w:pStyle w:val="38"/>
        <w:numPr>
          <w:ilvl w:val="0"/>
          <w:numId w:val="3"/>
        </w:numPr>
        <w:spacing w:before="60" w:after="60" w:line="360" w:lineRule="auto"/>
        <w:ind w:firstLine="0"/>
        <w:jc w:val="both"/>
        <w:rPr>
          <w:sz w:val="28"/>
        </w:rPr>
      </w:pPr>
      <w:r>
        <w:rPr>
          <w:sz w:val="28"/>
        </w:rPr>
        <w:t>Diastolic blood pressure (mmHg):</w:t>
      </w:r>
    </w:p>
    <w:p w14:paraId="69092364">
      <w:pPr>
        <w:pStyle w:val="38"/>
        <w:numPr>
          <w:ilvl w:val="0"/>
          <w:numId w:val="3"/>
        </w:numPr>
        <w:spacing w:before="60" w:after="60" w:line="360" w:lineRule="auto"/>
        <w:ind w:firstLine="0"/>
        <w:jc w:val="both"/>
        <w:rPr>
          <w:sz w:val="28"/>
        </w:rPr>
      </w:pPr>
      <w:r>
        <w:rPr>
          <w:sz w:val="28"/>
        </w:rPr>
        <w:t>Fasting plasma glucose (mg/dL):</w:t>
      </w:r>
    </w:p>
    <w:p w14:paraId="602B3129">
      <w:pPr>
        <w:pStyle w:val="38"/>
        <w:numPr>
          <w:ilvl w:val="0"/>
          <w:numId w:val="3"/>
        </w:numPr>
        <w:spacing w:before="60" w:after="60" w:line="360" w:lineRule="auto"/>
        <w:ind w:firstLine="0"/>
        <w:jc w:val="both"/>
        <w:rPr>
          <w:sz w:val="28"/>
        </w:rPr>
      </w:pPr>
      <w:r>
        <w:rPr>
          <w:sz w:val="28"/>
        </w:rPr>
        <w:t>Triglycerides (mg/dL):</w:t>
      </w:r>
    </w:p>
    <w:p w14:paraId="35D7C6A8">
      <w:pPr>
        <w:pStyle w:val="38"/>
        <w:numPr>
          <w:ilvl w:val="0"/>
          <w:numId w:val="3"/>
        </w:numPr>
        <w:spacing w:before="60" w:after="60" w:line="360" w:lineRule="auto"/>
        <w:ind w:firstLine="0"/>
        <w:jc w:val="both"/>
        <w:rPr>
          <w:sz w:val="28"/>
        </w:rPr>
      </w:pPr>
      <w:r>
        <w:rPr>
          <w:sz w:val="28"/>
        </w:rPr>
        <w:t>HDL-C (mg/dL):</w:t>
      </w:r>
    </w:p>
    <w:p w14:paraId="460CB245">
      <w:pPr>
        <w:pStyle w:val="38"/>
        <w:numPr>
          <w:ilvl w:val="0"/>
          <w:numId w:val="3"/>
        </w:numPr>
        <w:spacing w:before="60" w:after="60" w:line="360" w:lineRule="auto"/>
        <w:ind w:firstLine="0"/>
        <w:jc w:val="both"/>
        <w:rPr>
          <w:sz w:val="28"/>
        </w:rPr>
      </w:pPr>
      <w:r>
        <w:rPr>
          <w:sz w:val="28"/>
        </w:rPr>
        <w:t>Total cholesterol (mg/dL):</w:t>
      </w:r>
    </w:p>
    <w:p w14:paraId="409FB67E">
      <w:pPr>
        <w:pStyle w:val="38"/>
        <w:numPr>
          <w:ilvl w:val="0"/>
          <w:numId w:val="3"/>
        </w:numPr>
        <w:spacing w:before="60" w:after="60" w:line="360" w:lineRule="auto"/>
        <w:ind w:firstLine="0"/>
        <w:jc w:val="both"/>
        <w:rPr>
          <w:sz w:val="28"/>
        </w:rPr>
      </w:pPr>
      <w:r>
        <w:rPr>
          <w:sz w:val="28"/>
        </w:rPr>
        <w:t>LDL-C (mg/dL, calculated):</w:t>
      </w:r>
    </w:p>
    <w:p w14:paraId="688832A0">
      <w:pPr>
        <w:pStyle w:val="38"/>
        <w:numPr>
          <w:ilvl w:val="0"/>
          <w:numId w:val="3"/>
        </w:numPr>
        <w:spacing w:before="60" w:after="60" w:line="360" w:lineRule="auto"/>
        <w:ind w:firstLine="0"/>
        <w:jc w:val="both"/>
        <w:rPr>
          <w:sz w:val="28"/>
        </w:rPr>
      </w:pPr>
      <w:r>
        <w:rPr>
          <w:sz w:val="28"/>
        </w:rPr>
        <w:t>Metabolic syndrome present: Yes / No (number of components: ___)</w:t>
      </w:r>
    </w:p>
    <w:sectPr>
      <w:headerReference r:id="rId3" w:type="default"/>
      <w:footerReference r:id="rId4" w:type="default"/>
      <w:pgSz w:w="12240" w:h="15840"/>
      <w:pgMar w:top="1440" w:right="1440" w:bottom="1440" w:left="1800" w:header="708" w:footer="70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XO Thames">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7EE">
    <w:pPr>
      <w:spacing w:before="60"/>
      <w:jc w:val="center"/>
    </w:pPr>
    <w:r>
      <w:rPr>
        <w:sz w:val="18"/>
      </w:rPr>
      <w:t xml:space="preserve">Page </w:t>
    </w:r>
    <w:r>
      <w:rPr>
        <w:sz w:val="18"/>
      </w:rPr>
      <w:fldChar w:fldCharType="begin"/>
    </w:r>
    <w:r>
      <w:rPr>
        <w:sz w:val="18"/>
      </w:rPr>
      <w:instrText xml:space="preserve">PAGE </w:instrText>
    </w:r>
    <w:r>
      <w:rPr>
        <w:sz w:val="18"/>
      </w:rPr>
      <w:fldChar w:fldCharType="separate"/>
    </w:r>
    <w:r>
      <w:rPr>
        <w:sz w:val="18"/>
      </w:rPr>
      <w:t>87</w:t>
    </w:r>
    <w:r>
      <w:rPr>
        <w:sz w:val="18"/>
      </w:rPr>
      <w:fldChar w:fldCharType="end"/>
    </w:r>
    <w:r>
      <w:rPr>
        <w:sz w:val="18"/>
      </w:rPr>
      <w:t xml:space="preserve"> of </w:t>
    </w:r>
    <w:r>
      <w:rPr>
        <w:sz w:val="18"/>
      </w:rPr>
      <w:fldChar w:fldCharType="begin"/>
    </w:r>
    <w:r>
      <w:rPr>
        <w:sz w:val="18"/>
      </w:rPr>
      <w:instrText xml:space="preserve">NUMPAGES </w:instrText>
    </w:r>
    <w:r>
      <w:rPr>
        <w:sz w:val="18"/>
      </w:rPr>
      <w:fldChar w:fldCharType="separate"/>
    </w:r>
    <w:r>
      <w:rPr>
        <w:sz w:val="18"/>
      </w:rPr>
      <w:t>88</w:t>
    </w:r>
    <w:r>
      <w:rPr>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20CF0">
    <w:pPr>
      <w:spacing w:after="10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A02742"/>
    <w:multiLevelType w:val="multilevel"/>
    <w:tmpl w:val="12A02742"/>
    <w:lvl w:ilvl="0" w:tentative="0">
      <w:start w:val="1"/>
      <w:numFmt w:val="lowerLetter"/>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360"/>
      </w:pPr>
    </w:lvl>
    <w:lvl w:ilvl="3" w:tentative="0">
      <w:start w:val="1"/>
      <w:numFmt w:val="lowerLetter"/>
      <w:lvlText w:val="%4)"/>
      <w:lvlJc w:val="left"/>
      <w:pPr>
        <w:ind w:left="2880" w:hanging="360"/>
      </w:pPr>
    </w:lvl>
    <w:lvl w:ilvl="4" w:tentative="0">
      <w:start w:val="1"/>
      <w:numFmt w:val="decimal"/>
      <w:lvlText w:val="%5)"/>
      <w:lvlJc w:val="left"/>
      <w:pPr>
        <w:ind w:left="3600" w:hanging="360"/>
      </w:pPr>
    </w:lvl>
    <w:lvl w:ilvl="5" w:tentative="0">
      <w:start w:val="1"/>
      <w:numFmt w:val="lowerRoman"/>
      <w:lvlText w:val="%6)"/>
      <w:lvlJc w:val="right"/>
      <w:pPr>
        <w:ind w:left="4320" w:hanging="360"/>
      </w:pPr>
    </w:lvl>
    <w:lvl w:ilvl="6" w:tentative="0">
      <w:start w:val="1"/>
      <w:numFmt w:val="lowerLetter"/>
      <w:lvlText w:val="%7)"/>
      <w:lvlJc w:val="left"/>
      <w:pPr>
        <w:ind w:left="5040" w:hanging="360"/>
      </w:pPr>
    </w:lvl>
    <w:lvl w:ilvl="7" w:tentative="0">
      <w:start w:val="1"/>
      <w:numFmt w:val="decimal"/>
      <w:lvlText w:val="%8)"/>
      <w:lvlJc w:val="left"/>
      <w:pPr>
        <w:ind w:left="5760" w:hanging="360"/>
      </w:pPr>
    </w:lvl>
    <w:lvl w:ilvl="8" w:tentative="0">
      <w:start w:val="1"/>
      <w:numFmt w:val="lowerRoman"/>
      <w:lvlText w:val="%9)"/>
      <w:lvlJc w:val="right"/>
      <w:pPr>
        <w:ind w:left="6480" w:hanging="360"/>
      </w:pPr>
    </w:lvl>
  </w:abstractNum>
  <w:abstractNum w:abstractNumId="1">
    <w:nsid w:val="1CFD3BE9"/>
    <w:multiLevelType w:val="multilevel"/>
    <w:tmpl w:val="1CFD3BE9"/>
    <w:lvl w:ilvl="0" w:tentative="0">
      <w:start w:val="0"/>
      <w:numFmt w:val="bullet"/>
      <w:lvlText w:val=""/>
      <w:lvlJc w:val="left"/>
      <w:pPr>
        <w:ind w:left="720" w:hanging="360"/>
      </w:pPr>
      <w:rPr>
        <w:rFonts w:ascii="Symbol" w:hAnsi="Symbol"/>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Symbol" w:hAnsi="Symbol"/>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Symbol" w:hAnsi="Symbol"/>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2">
    <w:nsid w:val="3DC02F47"/>
    <w:multiLevelType w:val="multilevel"/>
    <w:tmpl w:val="3DC02F47"/>
    <w:lvl w:ilvl="0" w:tentative="0">
      <w:start w:val="1"/>
      <w:numFmt w:val="lowerLetter"/>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360"/>
      </w:pPr>
    </w:lvl>
    <w:lvl w:ilvl="3" w:tentative="0">
      <w:start w:val="1"/>
      <w:numFmt w:val="lowerLetter"/>
      <w:lvlText w:val="%4)"/>
      <w:lvlJc w:val="left"/>
      <w:pPr>
        <w:ind w:left="2880" w:hanging="360"/>
      </w:pPr>
    </w:lvl>
    <w:lvl w:ilvl="4" w:tentative="0">
      <w:start w:val="1"/>
      <w:numFmt w:val="decimal"/>
      <w:lvlText w:val="%5)"/>
      <w:lvlJc w:val="left"/>
      <w:pPr>
        <w:ind w:left="3600" w:hanging="360"/>
      </w:pPr>
    </w:lvl>
    <w:lvl w:ilvl="5" w:tentative="0">
      <w:start w:val="1"/>
      <w:numFmt w:val="lowerRoman"/>
      <w:lvlText w:val="%6)"/>
      <w:lvlJc w:val="right"/>
      <w:pPr>
        <w:ind w:left="4320" w:hanging="360"/>
      </w:pPr>
    </w:lvl>
    <w:lvl w:ilvl="6" w:tentative="0">
      <w:start w:val="1"/>
      <w:numFmt w:val="lowerLetter"/>
      <w:lvlText w:val="%7)"/>
      <w:lvlJc w:val="left"/>
      <w:pPr>
        <w:ind w:left="5040" w:hanging="360"/>
      </w:pPr>
    </w:lvl>
    <w:lvl w:ilvl="7" w:tentative="0">
      <w:start w:val="1"/>
      <w:numFmt w:val="decimal"/>
      <w:lvlText w:val="%8)"/>
      <w:lvlJc w:val="left"/>
      <w:pPr>
        <w:ind w:left="5760" w:hanging="360"/>
      </w:pPr>
    </w:lvl>
    <w:lvl w:ilvl="8" w:tentative="0">
      <w:start w:val="1"/>
      <w:numFmt w:val="lowerRoman"/>
      <w:lvlText w:val="%9)"/>
      <w:lvlJc w:val="right"/>
      <w:pPr>
        <w:ind w:left="6480" w:hanging="360"/>
      </w:pPr>
    </w:lvl>
  </w:abstractNum>
  <w:abstractNum w:abstractNumId="3">
    <w:nsid w:val="66AF12EF"/>
    <w:multiLevelType w:val="multilevel"/>
    <w:tmpl w:val="66AF12EF"/>
    <w:lvl w:ilvl="0" w:tentative="0">
      <w:start w:val="1"/>
      <w:numFmt w:val="bullet"/>
      <w:lvlText w:val="•"/>
      <w:lvlJc w:val="left"/>
      <w:pPr>
        <w:ind w:left="720" w:hanging="360"/>
      </w:p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7711091C"/>
    <w:multiLevelType w:val="multilevel"/>
    <w:tmpl w:val="7711091C"/>
    <w:lvl w:ilvl="0" w:tentative="0">
      <w:start w:val="0"/>
      <w:numFmt w:val="bullet"/>
      <w:lvlText w:val=""/>
      <w:lvlJc w:val="left"/>
      <w:pPr>
        <w:ind w:left="720" w:hanging="360"/>
      </w:pPr>
      <w:rPr>
        <w:rFonts w:ascii="Symbol" w:hAnsi="Symbol"/>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Symbol" w:hAnsi="Symbol"/>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Symbol" w:hAnsi="Symbol"/>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2"/>
  </w:compat>
  <w:rsids>
    <w:rsidRoot w:val="008807E7"/>
    <w:rsid w:val="000E52D0"/>
    <w:rsid w:val="001157B9"/>
    <w:rsid w:val="001807F5"/>
    <w:rsid w:val="001E7C5C"/>
    <w:rsid w:val="00484D8B"/>
    <w:rsid w:val="00495D53"/>
    <w:rsid w:val="005B731E"/>
    <w:rsid w:val="005E2A8C"/>
    <w:rsid w:val="00865020"/>
    <w:rsid w:val="008807E7"/>
    <w:rsid w:val="00982D3E"/>
    <w:rsid w:val="00CC74A8"/>
    <w:rsid w:val="00EC0815"/>
    <w:rsid w:val="0DF9367B"/>
    <w:rsid w:val="32365A37"/>
    <w:rsid w:val="3FB360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unhideWhenUsed="0" w:uiPriority="39" w:semiHidden="0" w:name="toc 7"/>
    <w:lsdException w:unhideWhenUsed="0" w:uiPriority="39" w:semiHidden="0" w:name="toc 8"/>
    <w:lsdException w:qFormat="1" w:unhideWhenUsed="0"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semiHidden="0" w:name="footnote reference"/>
    <w:lsdException w:uiPriority="99" w:name="annotation reference"/>
    <w:lsdException w:uiPriority="99" w:name="line number"/>
    <w:lsdException w:uiPriority="99" w:name="page number"/>
    <w:lsdException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color w:val="000000"/>
      <w:sz w:val="24"/>
      <w:lang w:val="en-US" w:eastAsia="en-US" w:bidi="ar-SA"/>
    </w:rPr>
  </w:style>
  <w:style w:type="paragraph" w:styleId="2">
    <w:name w:val="heading 1"/>
    <w:link w:val="48"/>
    <w:qFormat/>
    <w:uiPriority w:val="0"/>
    <w:pPr>
      <w:outlineLvl w:val="0"/>
    </w:pPr>
    <w:rPr>
      <w:rFonts w:ascii="Times New Roman" w:hAnsi="Times New Roman" w:eastAsia="Times New Roman" w:cs="Times New Roman"/>
      <w:color w:val="2E74B5"/>
      <w:sz w:val="32"/>
      <w:lang w:val="en-US" w:eastAsia="en-US" w:bidi="ar-SA"/>
    </w:rPr>
  </w:style>
  <w:style w:type="paragraph" w:styleId="3">
    <w:name w:val="heading 2"/>
    <w:link w:val="56"/>
    <w:qFormat/>
    <w:uiPriority w:val="9"/>
    <w:pPr>
      <w:spacing w:before="300" w:after="160"/>
      <w:outlineLvl w:val="1"/>
    </w:pPr>
    <w:rPr>
      <w:rFonts w:ascii="Times New Roman" w:hAnsi="Times New Roman" w:eastAsia="Times New Roman" w:cs="Times New Roman"/>
      <w:b/>
      <w:color w:val="000000"/>
      <w:sz w:val="26"/>
      <w:lang w:val="en-US" w:eastAsia="en-US" w:bidi="ar-SA"/>
    </w:rPr>
  </w:style>
  <w:style w:type="paragraph" w:styleId="4">
    <w:name w:val="heading 3"/>
    <w:link w:val="40"/>
    <w:uiPriority w:val="0"/>
    <w:pPr>
      <w:spacing w:before="200" w:after="120"/>
      <w:outlineLvl w:val="2"/>
    </w:pPr>
    <w:rPr>
      <w:rFonts w:ascii="Times New Roman" w:hAnsi="Times New Roman" w:eastAsia="Times New Roman" w:cs="Times New Roman"/>
      <w:b/>
      <w:i/>
      <w:color w:val="000000"/>
      <w:sz w:val="24"/>
      <w:lang w:val="en-US" w:eastAsia="en-US" w:bidi="ar-SA"/>
    </w:rPr>
  </w:style>
  <w:style w:type="paragraph" w:styleId="5">
    <w:name w:val="heading 4"/>
    <w:link w:val="55"/>
    <w:qFormat/>
    <w:uiPriority w:val="9"/>
    <w:pPr>
      <w:outlineLvl w:val="3"/>
    </w:pPr>
    <w:rPr>
      <w:rFonts w:ascii="Times New Roman" w:hAnsi="Times New Roman" w:eastAsia="Times New Roman" w:cs="Times New Roman"/>
      <w:i/>
      <w:color w:val="2E74B5"/>
      <w:sz w:val="24"/>
      <w:lang w:val="en-US" w:eastAsia="en-US" w:bidi="ar-SA"/>
    </w:rPr>
  </w:style>
  <w:style w:type="paragraph" w:styleId="6">
    <w:name w:val="heading 5"/>
    <w:link w:val="41"/>
    <w:qFormat/>
    <w:uiPriority w:val="9"/>
    <w:pPr>
      <w:outlineLvl w:val="4"/>
    </w:pPr>
    <w:rPr>
      <w:rFonts w:ascii="Times New Roman" w:hAnsi="Times New Roman" w:eastAsia="Times New Roman" w:cs="Times New Roman"/>
      <w:color w:val="2E74B5"/>
      <w:sz w:val="24"/>
      <w:lang w:val="en-US" w:eastAsia="en-US" w:bidi="ar-SA"/>
    </w:rPr>
  </w:style>
  <w:style w:type="paragraph" w:styleId="7">
    <w:name w:val="heading 6"/>
    <w:link w:val="57"/>
    <w:qFormat/>
    <w:uiPriority w:val="9"/>
    <w:pPr>
      <w:outlineLvl w:val="5"/>
    </w:pPr>
    <w:rPr>
      <w:rFonts w:ascii="Times New Roman" w:hAnsi="Times New Roman" w:eastAsia="Times New Roman" w:cs="Times New Roman"/>
      <w:color w:val="1F4D78"/>
      <w:sz w:val="24"/>
      <w:lang w:val="en-US" w:eastAsia="en-US" w:bidi="ar-SA"/>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endnote reference"/>
    <w:link w:val="11"/>
    <w:uiPriority w:val="0"/>
    <w:rPr>
      <w:vertAlign w:val="superscript"/>
    </w:rPr>
  </w:style>
  <w:style w:type="paragraph" w:customStyle="1" w:styleId="11">
    <w:name w:val="Endnote Reference1"/>
    <w:link w:val="10"/>
    <w:qFormat/>
    <w:uiPriority w:val="0"/>
    <w:rPr>
      <w:rFonts w:ascii="Times New Roman" w:hAnsi="Times New Roman" w:eastAsia="Times New Roman" w:cs="Times New Roman"/>
      <w:color w:val="000000"/>
      <w:sz w:val="24"/>
      <w:vertAlign w:val="superscript"/>
      <w:lang w:val="en-US" w:eastAsia="en-US" w:bidi="ar-SA"/>
    </w:rPr>
  </w:style>
  <w:style w:type="paragraph" w:styleId="12">
    <w:name w:val="endnote text"/>
    <w:link w:val="31"/>
    <w:qFormat/>
    <w:uiPriority w:val="0"/>
    <w:rPr>
      <w:rFonts w:ascii="Times New Roman" w:hAnsi="Times New Roman" w:eastAsia="Times New Roman" w:cs="Times New Roman"/>
      <w:color w:val="000000"/>
      <w:sz w:val="20"/>
      <w:lang w:val="en-US" w:eastAsia="en-US" w:bidi="ar-SA"/>
    </w:rPr>
  </w:style>
  <w:style w:type="character" w:styleId="13">
    <w:name w:val="footnote reference"/>
    <w:link w:val="14"/>
    <w:uiPriority w:val="0"/>
    <w:rPr>
      <w:vertAlign w:val="superscript"/>
    </w:rPr>
  </w:style>
  <w:style w:type="paragraph" w:customStyle="1" w:styleId="14">
    <w:name w:val="Footnote Reference1"/>
    <w:link w:val="13"/>
    <w:qFormat/>
    <w:uiPriority w:val="0"/>
    <w:rPr>
      <w:rFonts w:ascii="Times New Roman" w:hAnsi="Times New Roman" w:eastAsia="Times New Roman" w:cs="Times New Roman"/>
      <w:color w:val="000000"/>
      <w:sz w:val="24"/>
      <w:vertAlign w:val="superscript"/>
      <w:lang w:val="en-US" w:eastAsia="en-US" w:bidi="ar-SA"/>
    </w:rPr>
  </w:style>
  <w:style w:type="character" w:styleId="15">
    <w:name w:val="Hyperlink"/>
    <w:link w:val="16"/>
    <w:qFormat/>
    <w:uiPriority w:val="0"/>
    <w:rPr>
      <w:color w:val="0563C1"/>
      <w:u w:val="single"/>
    </w:rPr>
  </w:style>
  <w:style w:type="paragraph" w:customStyle="1" w:styleId="16">
    <w:name w:val="Hyperlink1"/>
    <w:link w:val="15"/>
    <w:uiPriority w:val="0"/>
    <w:rPr>
      <w:rFonts w:ascii="Times New Roman" w:hAnsi="Times New Roman" w:eastAsia="Times New Roman" w:cs="Times New Roman"/>
      <w:color w:val="0563C1"/>
      <w:sz w:val="24"/>
      <w:u w:val="single"/>
      <w:lang w:val="en-US" w:eastAsia="en-US" w:bidi="ar-SA"/>
    </w:rPr>
  </w:style>
  <w:style w:type="character" w:styleId="17">
    <w:name w:val="Strong"/>
    <w:link w:val="18"/>
    <w:uiPriority w:val="0"/>
    <w:rPr>
      <w:b/>
    </w:rPr>
  </w:style>
  <w:style w:type="paragraph" w:customStyle="1" w:styleId="18">
    <w:name w:val="Strong1"/>
    <w:link w:val="17"/>
    <w:uiPriority w:val="0"/>
    <w:rPr>
      <w:rFonts w:ascii="Times New Roman" w:hAnsi="Times New Roman" w:eastAsia="Times New Roman" w:cs="Times New Roman"/>
      <w:b/>
      <w:color w:val="000000"/>
      <w:sz w:val="24"/>
      <w:lang w:val="en-US" w:eastAsia="en-US" w:bidi="ar-SA"/>
    </w:rPr>
  </w:style>
  <w:style w:type="paragraph" w:styleId="19">
    <w:name w:val="Subtitle"/>
    <w:next w:val="1"/>
    <w:link w:val="53"/>
    <w:qFormat/>
    <w:uiPriority w:val="11"/>
    <w:pPr>
      <w:jc w:val="both"/>
    </w:pPr>
    <w:rPr>
      <w:rFonts w:ascii="XO Thames" w:hAnsi="XO Thames" w:eastAsia="Times New Roman" w:cs="Times New Roman"/>
      <w:i/>
      <w:color w:val="000000"/>
      <w:sz w:val="24"/>
      <w:lang w:val="en-US" w:eastAsia="en-US" w:bidi="ar-SA"/>
    </w:rPr>
  </w:style>
  <w:style w:type="paragraph" w:styleId="20">
    <w:name w:val="Title"/>
    <w:link w:val="54"/>
    <w:qFormat/>
    <w:uiPriority w:val="10"/>
    <w:rPr>
      <w:rFonts w:ascii="Times New Roman" w:hAnsi="Times New Roman" w:eastAsia="Times New Roman" w:cs="Times New Roman"/>
      <w:color w:val="000000"/>
      <w:sz w:val="56"/>
      <w:lang w:val="en-US" w:eastAsia="en-US" w:bidi="ar-SA"/>
    </w:rPr>
  </w:style>
  <w:style w:type="paragraph" w:styleId="21">
    <w:name w:val="toc 1"/>
    <w:next w:val="1"/>
    <w:link w:val="45"/>
    <w:uiPriority w:val="39"/>
    <w:rPr>
      <w:rFonts w:ascii="XO Thames" w:hAnsi="XO Thames" w:eastAsia="Times New Roman" w:cs="Times New Roman"/>
      <w:b/>
      <w:color w:val="000000"/>
      <w:sz w:val="28"/>
      <w:lang w:val="en-US" w:eastAsia="en-US" w:bidi="ar-SA"/>
    </w:rPr>
  </w:style>
  <w:style w:type="paragraph" w:styleId="22">
    <w:name w:val="toc 2"/>
    <w:next w:val="1"/>
    <w:link w:val="32"/>
    <w:qFormat/>
    <w:uiPriority w:val="39"/>
    <w:pPr>
      <w:ind w:left="200" w:hanging="200"/>
    </w:pPr>
    <w:rPr>
      <w:rFonts w:ascii="XO Thames" w:hAnsi="XO Thames" w:eastAsia="Times New Roman" w:cs="Times New Roman"/>
      <w:color w:val="000000"/>
      <w:sz w:val="28"/>
      <w:lang w:val="en-US" w:eastAsia="en-US" w:bidi="ar-SA"/>
    </w:rPr>
  </w:style>
  <w:style w:type="paragraph" w:styleId="23">
    <w:name w:val="toc 3"/>
    <w:next w:val="1"/>
    <w:link w:val="37"/>
    <w:qFormat/>
    <w:uiPriority w:val="39"/>
    <w:pPr>
      <w:ind w:left="400" w:hanging="400"/>
    </w:pPr>
    <w:rPr>
      <w:rFonts w:ascii="XO Thames" w:hAnsi="XO Thames" w:eastAsia="Times New Roman" w:cs="Times New Roman"/>
      <w:color w:val="000000"/>
      <w:sz w:val="28"/>
      <w:lang w:val="en-US" w:eastAsia="en-US" w:bidi="ar-SA"/>
    </w:rPr>
  </w:style>
  <w:style w:type="paragraph" w:styleId="24">
    <w:name w:val="toc 4"/>
    <w:next w:val="1"/>
    <w:link w:val="33"/>
    <w:uiPriority w:val="39"/>
    <w:pPr>
      <w:ind w:left="600"/>
    </w:pPr>
    <w:rPr>
      <w:rFonts w:ascii="XO Thames" w:hAnsi="XO Thames" w:eastAsia="Times New Roman" w:cs="Times New Roman"/>
      <w:color w:val="000000"/>
      <w:sz w:val="28"/>
      <w:lang w:val="en-US" w:eastAsia="en-US" w:bidi="ar-SA"/>
    </w:rPr>
  </w:style>
  <w:style w:type="paragraph" w:styleId="25">
    <w:name w:val="toc 5"/>
    <w:next w:val="1"/>
    <w:link w:val="52"/>
    <w:qFormat/>
    <w:uiPriority w:val="39"/>
    <w:pPr>
      <w:ind w:left="800"/>
    </w:pPr>
    <w:rPr>
      <w:rFonts w:ascii="XO Thames" w:hAnsi="XO Thames" w:eastAsia="Times New Roman" w:cs="Times New Roman"/>
      <w:color w:val="000000"/>
      <w:sz w:val="28"/>
      <w:lang w:val="en-US" w:eastAsia="en-US" w:bidi="ar-SA"/>
    </w:rPr>
  </w:style>
  <w:style w:type="paragraph" w:styleId="26">
    <w:name w:val="toc 6"/>
    <w:next w:val="1"/>
    <w:link w:val="34"/>
    <w:uiPriority w:val="39"/>
    <w:pPr>
      <w:ind w:left="1000"/>
    </w:pPr>
    <w:rPr>
      <w:rFonts w:ascii="XO Thames" w:hAnsi="XO Thames" w:eastAsia="Times New Roman" w:cs="Times New Roman"/>
      <w:color w:val="000000"/>
      <w:sz w:val="28"/>
      <w:lang w:val="en-US" w:eastAsia="en-US" w:bidi="ar-SA"/>
    </w:rPr>
  </w:style>
  <w:style w:type="paragraph" w:styleId="27">
    <w:name w:val="toc 7"/>
    <w:next w:val="1"/>
    <w:link w:val="35"/>
    <w:uiPriority w:val="39"/>
    <w:pPr>
      <w:ind w:left="1200"/>
    </w:pPr>
    <w:rPr>
      <w:rFonts w:ascii="XO Thames" w:hAnsi="XO Thames" w:eastAsia="Times New Roman" w:cs="Times New Roman"/>
      <w:color w:val="000000"/>
      <w:sz w:val="28"/>
      <w:lang w:val="en-US" w:eastAsia="en-US" w:bidi="ar-SA"/>
    </w:rPr>
  </w:style>
  <w:style w:type="paragraph" w:styleId="28">
    <w:name w:val="toc 8"/>
    <w:next w:val="1"/>
    <w:link w:val="50"/>
    <w:uiPriority w:val="39"/>
    <w:pPr>
      <w:ind w:left="1400"/>
    </w:pPr>
    <w:rPr>
      <w:rFonts w:ascii="XO Thames" w:hAnsi="XO Thames" w:eastAsia="Times New Roman" w:cs="Times New Roman"/>
      <w:color w:val="000000"/>
      <w:sz w:val="28"/>
      <w:lang w:val="en-US" w:eastAsia="en-US" w:bidi="ar-SA"/>
    </w:rPr>
  </w:style>
  <w:style w:type="paragraph" w:styleId="29">
    <w:name w:val="toc 9"/>
    <w:next w:val="1"/>
    <w:link w:val="49"/>
    <w:qFormat/>
    <w:uiPriority w:val="39"/>
    <w:pPr>
      <w:ind w:left="1600"/>
    </w:pPr>
    <w:rPr>
      <w:rFonts w:ascii="XO Thames" w:hAnsi="XO Thames" w:eastAsia="Times New Roman" w:cs="Times New Roman"/>
      <w:color w:val="000000"/>
      <w:sz w:val="28"/>
      <w:lang w:val="en-US" w:eastAsia="en-US" w:bidi="ar-SA"/>
    </w:rPr>
  </w:style>
  <w:style w:type="character" w:customStyle="1" w:styleId="30">
    <w:name w:val="Normal1"/>
    <w:uiPriority w:val="0"/>
  </w:style>
  <w:style w:type="character" w:customStyle="1" w:styleId="31">
    <w:name w:val="Endnote Text Char"/>
    <w:link w:val="12"/>
    <w:uiPriority w:val="0"/>
    <w:rPr>
      <w:sz w:val="20"/>
    </w:rPr>
  </w:style>
  <w:style w:type="character" w:customStyle="1" w:styleId="32">
    <w:name w:val="TOC 2 Char"/>
    <w:link w:val="22"/>
    <w:qFormat/>
    <w:uiPriority w:val="0"/>
    <w:rPr>
      <w:rFonts w:ascii="XO Thames" w:hAnsi="XO Thames"/>
      <w:sz w:val="28"/>
    </w:rPr>
  </w:style>
  <w:style w:type="character" w:customStyle="1" w:styleId="33">
    <w:name w:val="TOC 4 Char"/>
    <w:link w:val="24"/>
    <w:uiPriority w:val="0"/>
    <w:rPr>
      <w:rFonts w:ascii="XO Thames" w:hAnsi="XO Thames"/>
      <w:sz w:val="28"/>
    </w:rPr>
  </w:style>
  <w:style w:type="character" w:customStyle="1" w:styleId="34">
    <w:name w:val="TOC 6 Char"/>
    <w:link w:val="26"/>
    <w:qFormat/>
    <w:uiPriority w:val="0"/>
    <w:rPr>
      <w:rFonts w:ascii="XO Thames" w:hAnsi="XO Thames"/>
      <w:sz w:val="28"/>
    </w:rPr>
  </w:style>
  <w:style w:type="character" w:customStyle="1" w:styleId="35">
    <w:name w:val="TOC 7 Char"/>
    <w:link w:val="27"/>
    <w:qFormat/>
    <w:uiPriority w:val="0"/>
    <w:rPr>
      <w:rFonts w:ascii="XO Thames" w:hAnsi="XO Thames"/>
      <w:sz w:val="28"/>
    </w:rPr>
  </w:style>
  <w:style w:type="character" w:customStyle="1" w:styleId="36">
    <w:name w:val="Heading 31"/>
    <w:qFormat/>
    <w:uiPriority w:val="0"/>
    <w:rPr>
      <w:color w:val="1F4D78"/>
      <w:sz w:val="24"/>
    </w:rPr>
  </w:style>
  <w:style w:type="character" w:customStyle="1" w:styleId="37">
    <w:name w:val="TOC 3 Char"/>
    <w:link w:val="23"/>
    <w:uiPriority w:val="0"/>
    <w:rPr>
      <w:rFonts w:ascii="XO Thames" w:hAnsi="XO Thames"/>
      <w:sz w:val="28"/>
    </w:rPr>
  </w:style>
  <w:style w:type="paragraph" w:styleId="38">
    <w:name w:val="List Paragraph"/>
    <w:link w:val="39"/>
    <w:qFormat/>
    <w:uiPriority w:val="0"/>
    <w:rPr>
      <w:rFonts w:ascii="Times New Roman" w:hAnsi="Times New Roman" w:eastAsia="Times New Roman" w:cs="Times New Roman"/>
      <w:color w:val="000000"/>
      <w:sz w:val="24"/>
      <w:lang w:val="en-US" w:eastAsia="en-US" w:bidi="ar-SA"/>
    </w:rPr>
  </w:style>
  <w:style w:type="character" w:customStyle="1" w:styleId="39">
    <w:name w:val="List Paragraph Char"/>
    <w:link w:val="38"/>
    <w:qFormat/>
    <w:uiPriority w:val="0"/>
  </w:style>
  <w:style w:type="character" w:customStyle="1" w:styleId="40">
    <w:name w:val="Heading 3 Char"/>
    <w:link w:val="4"/>
    <w:uiPriority w:val="0"/>
    <w:rPr>
      <w:rFonts w:ascii="Times New Roman" w:hAnsi="Times New Roman"/>
      <w:b/>
      <w:i/>
      <w:color w:val="000000"/>
      <w:sz w:val="24"/>
    </w:rPr>
  </w:style>
  <w:style w:type="character" w:customStyle="1" w:styleId="41">
    <w:name w:val="Heading 5 Char"/>
    <w:link w:val="6"/>
    <w:qFormat/>
    <w:uiPriority w:val="0"/>
    <w:rPr>
      <w:color w:val="2E74B5"/>
    </w:rPr>
  </w:style>
  <w:style w:type="character" w:customStyle="1" w:styleId="42">
    <w:name w:val="Heading 11"/>
    <w:uiPriority w:val="0"/>
    <w:rPr>
      <w:rFonts w:ascii="Times New Roman" w:hAnsi="Times New Roman"/>
      <w:b/>
      <w:color w:val="000000"/>
      <w:sz w:val="28"/>
    </w:rPr>
  </w:style>
  <w:style w:type="paragraph" w:customStyle="1" w:styleId="43">
    <w:name w:val="Footnote"/>
    <w:link w:val="44"/>
    <w:uiPriority w:val="0"/>
    <w:rPr>
      <w:rFonts w:ascii="Times New Roman" w:hAnsi="Times New Roman" w:eastAsia="Times New Roman" w:cs="Times New Roman"/>
      <w:color w:val="000000"/>
      <w:sz w:val="20"/>
      <w:lang w:val="en-US" w:eastAsia="en-US" w:bidi="ar-SA"/>
    </w:rPr>
  </w:style>
  <w:style w:type="character" w:customStyle="1" w:styleId="44">
    <w:name w:val="Footnote1"/>
    <w:link w:val="43"/>
    <w:uiPriority w:val="0"/>
    <w:rPr>
      <w:sz w:val="20"/>
    </w:rPr>
  </w:style>
  <w:style w:type="character" w:customStyle="1" w:styleId="45">
    <w:name w:val="TOC 1 Char"/>
    <w:link w:val="21"/>
    <w:qFormat/>
    <w:uiPriority w:val="0"/>
    <w:rPr>
      <w:rFonts w:ascii="XO Thames" w:hAnsi="XO Thames"/>
      <w:b/>
      <w:sz w:val="28"/>
    </w:rPr>
  </w:style>
  <w:style w:type="paragraph" w:customStyle="1" w:styleId="46">
    <w:name w:val="Header and Footer"/>
    <w:link w:val="47"/>
    <w:uiPriority w:val="0"/>
    <w:pPr>
      <w:jc w:val="both"/>
    </w:pPr>
    <w:rPr>
      <w:rFonts w:ascii="XO Thames" w:hAnsi="XO Thames" w:eastAsia="Times New Roman" w:cs="Times New Roman"/>
      <w:color w:val="000000"/>
      <w:sz w:val="20"/>
      <w:lang w:val="en-US" w:eastAsia="en-US" w:bidi="ar-SA"/>
    </w:rPr>
  </w:style>
  <w:style w:type="character" w:customStyle="1" w:styleId="47">
    <w:name w:val="Header and Footer1"/>
    <w:link w:val="46"/>
    <w:uiPriority w:val="0"/>
    <w:rPr>
      <w:rFonts w:ascii="XO Thames" w:hAnsi="XO Thames"/>
      <w:sz w:val="20"/>
    </w:rPr>
  </w:style>
  <w:style w:type="character" w:customStyle="1" w:styleId="48">
    <w:name w:val="Heading 1 Char"/>
    <w:link w:val="2"/>
    <w:qFormat/>
    <w:uiPriority w:val="0"/>
    <w:rPr>
      <w:color w:val="2E74B5"/>
      <w:sz w:val="32"/>
    </w:rPr>
  </w:style>
  <w:style w:type="character" w:customStyle="1" w:styleId="49">
    <w:name w:val="TOC 9 Char"/>
    <w:link w:val="29"/>
    <w:qFormat/>
    <w:uiPriority w:val="0"/>
    <w:rPr>
      <w:rFonts w:ascii="XO Thames" w:hAnsi="XO Thames"/>
      <w:sz w:val="28"/>
    </w:rPr>
  </w:style>
  <w:style w:type="character" w:customStyle="1" w:styleId="50">
    <w:name w:val="TOC 8 Char"/>
    <w:link w:val="28"/>
    <w:qFormat/>
    <w:uiPriority w:val="0"/>
    <w:rPr>
      <w:rFonts w:ascii="XO Thames" w:hAnsi="XO Thames"/>
      <w:sz w:val="28"/>
    </w:rPr>
  </w:style>
  <w:style w:type="character" w:customStyle="1" w:styleId="51">
    <w:name w:val="Heading 21"/>
    <w:uiPriority w:val="0"/>
    <w:rPr>
      <w:color w:val="2E74B5"/>
      <w:sz w:val="26"/>
    </w:rPr>
  </w:style>
  <w:style w:type="character" w:customStyle="1" w:styleId="52">
    <w:name w:val="TOC 5 Char"/>
    <w:link w:val="25"/>
    <w:qFormat/>
    <w:uiPriority w:val="0"/>
    <w:rPr>
      <w:rFonts w:ascii="XO Thames" w:hAnsi="XO Thames"/>
      <w:sz w:val="28"/>
    </w:rPr>
  </w:style>
  <w:style w:type="character" w:customStyle="1" w:styleId="53">
    <w:name w:val="Subtitle Char"/>
    <w:link w:val="19"/>
    <w:qFormat/>
    <w:uiPriority w:val="0"/>
    <w:rPr>
      <w:rFonts w:ascii="XO Thames" w:hAnsi="XO Thames"/>
      <w:i/>
      <w:sz w:val="24"/>
    </w:rPr>
  </w:style>
  <w:style w:type="character" w:customStyle="1" w:styleId="54">
    <w:name w:val="Title Char"/>
    <w:link w:val="20"/>
    <w:qFormat/>
    <w:uiPriority w:val="0"/>
    <w:rPr>
      <w:sz w:val="56"/>
    </w:rPr>
  </w:style>
  <w:style w:type="character" w:customStyle="1" w:styleId="55">
    <w:name w:val="Heading 4 Char"/>
    <w:link w:val="5"/>
    <w:uiPriority w:val="0"/>
    <w:rPr>
      <w:i/>
      <w:color w:val="2E74B5"/>
    </w:rPr>
  </w:style>
  <w:style w:type="character" w:customStyle="1" w:styleId="56">
    <w:name w:val="Heading 2 Char"/>
    <w:link w:val="3"/>
    <w:uiPriority w:val="0"/>
    <w:rPr>
      <w:rFonts w:ascii="Times New Roman" w:hAnsi="Times New Roman"/>
      <w:b/>
      <w:color w:val="000000"/>
      <w:sz w:val="26"/>
    </w:rPr>
  </w:style>
  <w:style w:type="character" w:customStyle="1" w:styleId="57">
    <w:name w:val="Heading 6 Char"/>
    <w:link w:val="7"/>
    <w:uiPriority w:val="0"/>
    <w:rPr>
      <w:color w:val="1F4D78"/>
    </w:rPr>
  </w:style>
  <w:style w:type="paragraph" w:customStyle="1" w:styleId="58">
    <w:name w:val="ds-markdown-paragraph"/>
    <w:basedOn w:val="1"/>
    <w:qFormat/>
    <w:uiPriority w:val="0"/>
    <w:pPr>
      <w:spacing w:before="100" w:beforeAutospacing="1" w:after="100" w:afterAutospacing="1"/>
    </w:pPr>
    <w:rPr>
      <w:color w:val="auto"/>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88</Pages>
  <Words>18854</Words>
  <Characters>107472</Characters>
  <Lines>895</Lines>
  <Paragraphs>252</Paragraphs>
  <TotalTime>54</TotalTime>
  <ScaleCrop>false</ScaleCrop>
  <LinksUpToDate>false</LinksUpToDate>
  <CharactersWithSpaces>126074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2026-06-14T07:49:00Z</dcterms:created>
  <dc:creator>Ruh-ullah</dc:creator>
  <cp:lastModifiedBy>Ruh-ullah</cp:lastModifiedBy>
  <dcterms:modified xsi:type="dcterms:W3CDTF">2026-06-14T09:17:59Z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D07AE8526A7B46E69277107318C0E62E_12</vt:lpwstr>
  </property>
</Properties>
</file>