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76D7F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spacing w:lineRule="auto" w:line="356" w:after="0" w:beforeAutospacing="0" w:afterAutospacing="0"/>
        <w:ind w:right="120"/>
        <w:jc w:val="center"/>
        <w:rPr>
          <w:rFonts w:ascii="Times New Roman" w:hAnsi="Times New Roman"/>
          <w:b w:val="1"/>
          <w:sz w:val="28"/>
        </w:rPr>
      </w:pPr>
      <w:bookmarkStart w:id="0" w:name="page1"/>
      <w:bookmarkEnd w:id="0"/>
      <w:r>
        <w:rPr>
          <w:rFonts w:ascii="Times New Roman" w:hAnsi="Times New Roman"/>
          <w:b w:val="1"/>
          <w:sz w:val="28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1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кафедрой терапии института профессионального образования 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НАУЧНЫЙ ДОКЛАД</w:t>
      </w:r>
    </w:p>
    <w:p>
      <w:pPr>
        <w:pStyle w:val="P2"/>
        <w:jc w:val="left"/>
        <w:rPr>
          <w:rFonts w:ascii="Times New Roman" w:hAnsi="Times New Roman"/>
          <w:b w:val="1"/>
          <w:sz w:val="28"/>
        </w:rPr>
      </w:pPr>
    </w:p>
    <w:p>
      <w:pPr>
        <w:pStyle w:val="P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научно - квалификационной работы на тему:</w:t>
      </w:r>
    </w:p>
    <w:p>
      <w:pPr>
        <w:pStyle w:val="P2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1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«Диагностическая точность эластометрии в оценке стадии фиброза у больных неалкогольной жировой болезнью печени»,</w:t>
      </w: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spacing w:lineRule="auto" w:line="240" w:after="160" w:beforeAutospacing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Норина Али Авад Али</w:t>
      </w:r>
    </w:p>
    <w:p>
      <w:pPr>
        <w:pStyle w:val="P2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</w:p>
    <w:p>
      <w:pPr>
        <w:pStyle w:val="P2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подготовки: 31.06.01 - клиническая медицина</w:t>
      </w:r>
    </w:p>
    <w:p>
      <w:pPr>
        <w:pStyle w:val="P2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Направленность подготовки:  14.01.28 – </w:t>
      </w:r>
      <w:r>
        <w:rPr>
          <w:rFonts w:ascii="Times New Roman" w:hAnsi="Times New Roman"/>
          <w:i w:val="1"/>
          <w:sz w:val="28"/>
        </w:rPr>
        <w:t>Гастроэнтерология</w:t>
      </w:r>
    </w:p>
    <w:p>
      <w:pPr>
        <w:pStyle w:val="P2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</w:p>
    <w:p>
      <w:pPr>
        <w:pStyle w:val="P2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</w:p>
    <w:p>
      <w:pPr>
        <w:pStyle w:val="P2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Москва, 2020</w:t>
      </w: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</w:t>
      </w:r>
    </w:p>
    <w:p>
      <w:pPr>
        <w:pStyle w:val="P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Норин Али Авад Али                                                                          /</w:t>
      </w:r>
      <w:r>
        <w:rPr>
          <w:rFonts w:ascii="Times New Roman" w:hAnsi="Times New Roman"/>
          <w:sz w:val="28"/>
          <w:u w:val="single"/>
        </w:rPr>
        <w:t xml:space="preserve">                                /</w:t>
      </w: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spacing w:lineRule="auto" w:line="360" w:after="160" w:beforeAutospacing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Научный руководитель:   </w:t>
      </w:r>
    </w:p>
    <w:p>
      <w:pPr>
        <w:spacing w:lineRule="auto" w:line="360" w:after="160" w:beforeAutospacing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кафедрой терапии института профессионального образования 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м. н., профессор     Павлов. Ч. С.                                  /</w:t>
      </w:r>
      <w:r>
        <w:rPr>
          <w:rFonts w:ascii="Times New Roman" w:hAnsi="Times New Roman"/>
          <w:sz w:val="28"/>
          <w:u w:val="single"/>
        </w:rPr>
        <w:t xml:space="preserve">                                    /</w:t>
      </w: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>
      <w:pPr>
        <w:spacing w:lineRule="auto" w:line="360" w:after="160" w:beforeAutospacing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Заведующий кафедрой терапии института профессионального образования 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м. н., профессор     Павлов. Ч. С. </w:t>
      </w:r>
    </w:p>
    <w:p>
      <w:pPr>
        <w:pStyle w:val="P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/</w:t>
      </w:r>
      <w:r>
        <w:rPr>
          <w:rFonts w:ascii="Times New Roman" w:hAnsi="Times New Roman"/>
          <w:sz w:val="28"/>
          <w:u w:val="single"/>
        </w:rPr>
        <w:t xml:space="preserve">                                     /</w:t>
      </w: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</w:rPr>
      </w:pPr>
    </w:p>
    <w:p>
      <w:pPr>
        <w:pStyle w:val="P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АКТУАЛЬНОСТЬ ТЕМЫ ИССЛЕДОВАНИЯ</w:t>
      </w:r>
    </w:p>
    <w:p>
      <w:pPr>
        <w:pStyle w:val="P2"/>
        <w:jc w:val="left"/>
        <w:rPr>
          <w:rFonts w:ascii="Times New Roman" w:hAnsi="Times New Roman"/>
          <w:sz w:val="28"/>
        </w:rPr>
      </w:pPr>
    </w:p>
    <w:p>
      <w:pPr>
        <w:pStyle w:val="P3"/>
        <w:tabs>
          <w:tab w:val="left" w:pos="142" w:leader="none"/>
          <w:tab w:val="left" w:pos="567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 xml:space="preserve">Неалкогольная жировая болезнь печени (НАЖБП) является наиболее распространенным заболеванием печени в мире. Недавние исследования показали, что НАЖБП является растущей проблемой здравоохранения в Азиатско-Тихоокеанском регионе. Важными факторами риска, связанными с НАЖБП, являются ожирение, диабет, гиперлипидемия и гипертриглицеридемия. NAFLD включает неалкогольную жирную печень (NAFL) только с жирной печенью, без гепатоцеллюлярного повреждения; и неалкогольный стеатогепатит (НАСГ), когда есть повреждение клеток печени с или без фиброза печени. Около 10% NAFL прогрессируют в NASH в течение 10 лет. Кроме того, 5% - 25% населения NASH прогрессируют до цирроза, и 30% - 50% этих пациентов умрут от осложнений в течение следующих 10 лет. НАСГ с запущенным фиброзом печени имеет риск развития рака печени </w:t>
      </w:r>
      <w:bookmarkStart w:id="1" w:name="_dx_frag_StartFragment"/>
      <w:bookmarkEnd w:id="1"/>
      <w:r>
        <w:rPr>
          <w:b w:val="1"/>
        </w:rPr>
        <w:t xml:space="preserve"> </w:t>
      </w:r>
      <w:r>
        <w:rPr>
          <w:sz w:val="28"/>
        </w:rPr>
        <w:t xml:space="preserve">  Следовательно, стадия фиброза печени играет очень важную роль в указании соответствующего лечения, чтобы предотвратить изменения в прогрессирующий фиброз (≥ F3).</w:t>
      </w:r>
    </w:p>
    <w:p>
      <w:pPr>
        <w:pStyle w:val="P3"/>
        <w:tabs>
          <w:tab w:val="left" w:pos="142" w:leader="none"/>
          <w:tab w:val="left" w:pos="567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</w:p>
    <w:p>
      <w:pPr>
        <w:pStyle w:val="P3"/>
        <w:tabs>
          <w:tab w:val="left" w:pos="142" w:leader="none"/>
          <w:tab w:val="left" w:pos="567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 xml:space="preserve">До настоящего времени биопсия печени все еще считается золотым стандартом для оценки фиброза печени. Тем не менее, биопсия печени является инвазивным методом с некоторыми серьезными осложнениями. Существуют некоторые неинвазивные методы для быстрой оценки фиброза печени у пациентов с НАЖБП / НАСГ, такие как оценка фиброза НАЖБП (NFS), FIB 4 и метод ARFI. NFS рекомендуется Американской ассоциацией по изучению заболеваний печени </w:t>
      </w:r>
      <w:r>
        <w:rPr>
          <w:sz w:val="28"/>
        </w:rPr>
        <w:t xml:space="preserve"> и Европейской ассоциацией по изучению печени </w:t>
      </w:r>
      <w:r>
        <w:rPr>
          <w:sz w:val="28"/>
        </w:rPr>
        <w:t xml:space="preserve"> при оценке пациентов с запущенным фиброзом. FIB-4 был первоначально разработан для оценки фиброза печени у пациентов, коинфицированных вирусом гепатита С / вирусом иммунодефицита человека. Оценка включает легкодоступные клинические данные: возраст, АСТ, АЛТ и количество тромбоцитов. Временная эластография с помощью Fibroscan измеряет скорость сдвиговой волны низкочастотной сдвиговой волны (50 Гц), передаваемой с помощью ультразвукового зонда в печени, как оценку жесткости печени. ARFI - это метод эластографии, разработанный Siemens с использованием модифицированных коммерчески доступных ультразвуковых аппаратов, объединяющий как эластографию, так и обычную ультразвуковую диагностику в В-режиме. Используя обычный ультразвук, оператор может избежать крупных кровеносных сосудов и других анатомических факторов жесткости печени</w:t>
      </w:r>
      <w:r>
        <w:rPr>
          <w:sz w:val="28"/>
        </w:rPr>
        <w:t>. Концептуально, с увеличением жесткости печени скорость сдвиговой волны соответственно увеличивается. Во Вьетнаме нет исследований, сравнивающих неинвазивные методы фиброза печени, включая ARFI, FibroScan, NFS и FIB4. Таким образом, это исследование было направлено на подтверждение диагностической полезности FIB4, показателя фиброза НАЖБП (NFS), FibroScan и ARFI для оценки фиброза печени у пациентов с НАЖБП / НАСГ.</w:t>
      </w:r>
    </w:p>
    <w:p>
      <w:pPr>
        <w:spacing w:lineRule="auto" w:line="360" w:after="16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причина прогрессирования данного заболевания - развитие последовательных стадий фиброза. В связи с чем адекватная и своевременная оценка выраженности фиброза при НАЖБП необходима в клинической практике для определения стадии, прогноза заболевания и возможности своевременно скорректировать тактику лечения больных.</w:t>
      </w:r>
    </w:p>
    <w:p>
      <w:pPr>
        <w:spacing w:lineRule="auto" w:line="360" w:after="16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Непрямая эластография – новый неинвазивный метод оценки выраженности фиброза печени, рассматривающийся в настоящее время как альтернатива пункционной биопсии, которая позволяет с большой точностью вычислить степень фиброза ткани печени у больных хроническими заболеваниями печени.</w:t>
      </w:r>
    </w:p>
    <w:p>
      <w:pPr>
        <w:spacing w:lineRule="auto" w:line="360" w:after="16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Эластографический метод диагностирования предоставляет врачу необходимую информацию о состоянии органа, поможет определить его эластичность, при этом удается оценить ситуацию и правильно поставить диагноз, не используется никакое оперативное вмешательство, и пациент не подвергает себя никаким рискам.</w:t>
      </w:r>
    </w:p>
    <w:p>
      <w:pPr>
        <w:spacing w:lineRule="auto" w:line="360" w:after="16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 не менее, не до конца изучена эффективность метода ультразвуковой эластографии печени у лиц с различными формами неалкогольной жировой болезни печени. В связи с этим актуальным является изучение данного вопроса.</w:t>
      </w:r>
    </w:p>
    <w:p>
      <w:pPr>
        <w:pStyle w:val="P3"/>
        <w:tabs>
          <w:tab w:val="left" w:pos="142" w:leader="none"/>
          <w:tab w:val="left" w:pos="567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left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ЦЕЛЬ ИССЛЕДОВАНИЯ</w:t>
      </w:r>
    </w:p>
    <w:p>
      <w:pPr>
        <w:spacing w:lineRule="auto" w:line="360" w:after="16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Оценить эффективность метода ультразвуковой эластографии печени и его диагностическая точность    у лиц с различными формами неалкогольной жировой болезни печени.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.</w:t>
      </w:r>
    </w:p>
    <w:p>
      <w:pPr>
        <w:pStyle w:val="P3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uppressAutoHyphens w:val="1"/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ЗАДАЧИ ИССЛЕДОВАНИЯ</w:t>
      </w:r>
    </w:p>
    <w:p>
      <w:pPr>
        <w:pStyle w:val="P5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Разработа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ь </w:t>
      </w:r>
      <w:r>
        <w:rPr>
          <w:rFonts w:ascii="Times New Roman" w:hAnsi="Times New Roman"/>
          <w:sz w:val="28"/>
        </w:rPr>
        <w:t xml:space="preserve"> алгоритм использования неинвазивной ультразвуковой эластографии у пациентов, страдающих неалкогольной жировой болезнью печени.</w:t>
      </w:r>
    </w:p>
    <w:p>
      <w:pPr>
        <w:pStyle w:val="P5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Исследовать взаимосвязь результатов эластографии печени с клиническими формами неалкогольной жировой болезни печени.</w:t>
      </w:r>
    </w:p>
    <w:p>
      <w:pPr>
        <w:pStyle w:val="P5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Оценить диагностическую ценность эластографии в стадиях фиброзных изменений в печени при неалкогольной жировой болезни печени.</w:t>
      </w:r>
    </w:p>
    <w:p>
      <w:pPr>
        <w:pStyle w:val="P5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</w:p>
    <w:p>
      <w:pPr>
        <w:pStyle w:val="P5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Разработаны критерии клинического прогноза неалкогольной жировой болезни печени по данным эластографического исследования печени.</w:t>
      </w:r>
    </w:p>
    <w:p>
      <w:pPr>
        <w:pStyle w:val="P5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НОВИЗНА</w:t>
      </w:r>
    </w:p>
    <w:p>
      <w:pPr>
        <w:pStyle w:val="P5"/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beforeAutospacing="0" w:afterAutospacing="0"/>
        <w:ind w:firstLine="340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 проверить эффективность</w:t>
      </w:r>
    </w:p>
    <w:p>
      <w:pPr>
        <w:spacing w:lineRule="auto" w:line="240" w:after="0" w:beforeAutospacing="0" w:afterAutospacing="0"/>
        <w:jc w:val="left"/>
        <w:rPr>
          <w:color w:val="000000"/>
          <w:sz w:val="28"/>
        </w:rPr>
      </w:pPr>
      <w:r>
        <w:rPr>
          <w:color w:val="000000"/>
          <w:sz w:val="28"/>
        </w:rPr>
        <w:t>неинвазивные методы (оценки FibroscanTM, APRI, FIB4 и NAFLD)</w:t>
      </w:r>
    </w:p>
    <w:p>
      <w:pPr>
        <w:spacing w:lineRule="auto" w:line="240" w:after="0" w:beforeAutospacing="0" w:afterAutospacing="0"/>
        <w:jc w:val="left"/>
        <w:rPr>
          <w:color w:val="000000"/>
          <w:sz w:val="28"/>
        </w:rPr>
      </w:pPr>
      <w:r>
        <w:rPr>
          <w:color w:val="000000"/>
          <w:sz w:val="28"/>
        </w:rPr>
        <w:t>в оценке фиброза печени у пациентов с НАЖБП в сравнении с печенью</w:t>
      </w:r>
    </w:p>
    <w:p>
      <w:pPr>
        <w:spacing w:lineRule="auto" w:line="240" w:after="0" w:beforeAutospacing="0" w:afterAutospacing="0"/>
        <w:jc w:val="left"/>
        <w:rPr>
          <w:color w:val="000000"/>
          <w:sz w:val="28"/>
        </w:rPr>
      </w:pPr>
      <w:r>
        <w:rPr>
          <w:color w:val="000000"/>
          <w:sz w:val="28"/>
        </w:rPr>
        <w:t>биопсия как золотой стандарт.</w:t>
      </w:r>
    </w:p>
    <w:p>
      <w:pPr>
        <w:pStyle w:val="P5"/>
        <w:tabs>
          <w:tab w:val="left" w:pos="106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left="729"/>
        <w:jc w:val="left"/>
        <w:rPr>
          <w:rFonts w:ascii="Times New Roman" w:hAnsi="Times New Roman"/>
          <w:sz w:val="28"/>
        </w:rPr>
      </w:pPr>
    </w:p>
    <w:p>
      <w:pPr>
        <w:pStyle w:val="P5"/>
        <w:tabs>
          <w:tab w:val="left" w:pos="106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</w:p>
    <w:p>
      <w:pPr>
        <w:pStyle w:val="P5"/>
        <w:tabs>
          <w:tab w:val="left" w:pos="106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МЕТОДЫ ИССЛЕДОВАНИЯ</w:t>
      </w:r>
    </w:p>
    <w:p>
      <w:pPr>
        <w:pStyle w:val="P5"/>
        <w:tabs>
          <w:tab w:val="left" w:pos="106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Методология научно-квалификационно работы учитывает результаты аналитического обзора отечественной и зарубежной литературы по теме исследования. для достижения поставленной цели применялся комплексный подход к оценке морфофункциональных и гемодинамических показателей при ПЭГ, ПОУГ, ПЭС и группа здоровых людей с позиций исследования ДЗН.</w:t>
      </w:r>
    </w:p>
    <w:p>
      <w:pPr>
        <w:pStyle w:val="P5"/>
        <w:tabs>
          <w:tab w:val="left" w:pos="106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ДОСТОВЕРНОСТИ РЕЗУЛЬТАТОВ</w:t>
      </w:r>
    </w:p>
    <w:p>
      <w:pPr>
        <w:pStyle w:val="P5"/>
        <w:tabs>
          <w:tab w:val="left" w:pos="106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достоверности результатов исследования основывается на адекватных и апробированных методах сбора клинического материала, применении современных методов исследования, а также использовании современных методов обработки информации и статистического анализа.</w:t>
      </w:r>
    </w:p>
    <w:p>
      <w:pPr>
        <w:pStyle w:val="P5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</w:p>
    <w:p>
      <w:pPr>
        <w:pStyle w:val="P5"/>
        <w:spacing w:lineRule="auto" w:line="360" w:beforeAutospacing="0" w:afterAutospacing="0"/>
        <w:jc w:val="left"/>
        <w:rPr>
          <w:rFonts w:ascii="Times New Roman" w:hAnsi="Times New Roman"/>
        </w:rPr>
      </w:pPr>
    </w:p>
    <w:p>
      <w:pPr>
        <w:pStyle w:val="P5"/>
        <w:spacing w:lineRule="auto" w:line="360" w:beforeAutospacing="0" w:afterAutospacing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СОДЕРЖАНИЕ РАБОТЫ</w:t>
      </w:r>
    </w:p>
    <w:p>
      <w:pPr>
        <w:pStyle w:val="P5"/>
        <w:spacing w:lineRule="auto" w:line="360" w:beforeAutospacing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Материал и методы исследования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2. Материал и методы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Критерии включения: возраст больше или равен 18 годам;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диагностика НАЖБП с помощью биопсии печени </w:t>
      </w:r>
      <w:r>
        <w:rPr>
          <w:sz w:val="28"/>
        </w:rPr>
        <w:t xml:space="preserve"> и THE (FibroscanTM,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Echosens, Франция) с интервалом не более 3 месяцев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от биопсии печени. Критериями исключения были диагноз гепатит В или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C; наличие значительного потребления алкоголя (более 30 г / день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для мужчин и 20 г / день для женщин) </w:t>
      </w:r>
      <w:r>
        <w:rPr>
          <w:sz w:val="28"/>
        </w:rPr>
        <w:t>; другие причины хронической печени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болезнь, вторичная НАЖБП и гепатоцеллюлярная карцинома.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Биопсии печени были получены под ультразвуковым контролем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техника с использованием иглы Tru-cut. Гистологические слайды были закодированы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. Минимальная длина 15 мм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образец биопсии или наличие хотя бы 10 полных порталов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трактаты требовались. Стеатоз оценивался как процент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гепатоциты, содержащие капли жира (минимум 5%) и оцененные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в качестве категориальной переменной. Использована классификация Клейнера 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стадия фиброза от 0 до 4. Расширенный фиброз был рассмотрен для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стадия фиброза ≥F3.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Исследуемая популяция была разделена на две группы с учетом стадии фиброза при биопсии печени: с (≥F3) и без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прогрессирующий фиброз (&lt;F3).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Вес, рост и индекс массы тела (ИМТ) измерялись в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все пациенты и лабораторные анализы (АЛТ, АСТ, общий и прямой билирубин, тромбоциты, альбумин, глюкоза и инсулин) также были выполнены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рассчитать неинвазивные баллы (APRI, FIB4 и NAFLD).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Оценка APRI была рассчитана с использованием переменных AST и тромбоцитов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Для оценки значительного фиброза оценка APRI была классифицирована как отсутствие (значение ≤0,5) или наличие (значение ≥1,5)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значительный фиброз </w:t>
      </w:r>
      <w:r>
        <w:rPr>
          <w:sz w:val="28"/>
        </w:rPr>
        <w:t>. Значение отсечения 0,98 также было оценено как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предложенный Kruger et al. </w:t>
      </w:r>
      <w:r>
        <w:rPr>
          <w:sz w:val="28"/>
        </w:rPr>
        <w:t xml:space="preserve"> специально для НАЖБП.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Показатель FIB4 рассчитывали с учетом возраста, АСТ, АЛТ и тромбоцитов.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ценности. Для оценки прогрессирующего фиброза показатель FIB4 был классифицирован как отсутствие (значение ≥1,3) или наличие (значение ≥2,67)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прогрессирующий фиброз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2.1. статистический анализ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Чувствительность, специфичность, положительный прогностический (ППВ) и отрицательный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Прогностические значения (NPV) были рассчитаны для каждого сравнения тестина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к биопсии печени.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Симметрия переменных была оценена с использованием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Тест Колмогорова – Смирнова. Переменные с симметричным распределением были описаны как среднее и стандартное отклонение. переменные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с асимметричным распределением были описаны медиана 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межквартильный размах (25 и 75 процентили).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Площадь под кривой (AUROC) с соответствующим доверительным интервалом 95% (CI 95%) была рассчитана для всех тестов.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Категориальные переменные были описаны по частотам и процентам.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В анализе использовалось программное обеспечение SPSS v.23.0 (IBM, United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Состояния).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567"/>
        <w:jc w:val="both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 xml:space="preserve"> Область исследования 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Оценка NAFLD включала возраст, ИМТ, инсулинорезистентность или диабет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Сахарный тип 2, аминотрансферазы, тромбоциты и показатели альбумина</w:t>
      </w:r>
      <w:r>
        <w:rPr>
          <w:sz w:val="28"/>
        </w:rPr>
        <w:t>.</w:t>
      </w:r>
      <w:r>
        <w:rPr>
          <w:sz w:val="28"/>
        </w:rPr>
        <w:t xml:space="preserve"> Для исключения прогрессирующего фиброза, сокращение показателя НАЖБП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было принято значение ниже -1,455. Значение отсечения по шкале NAFLD выше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чем 0,675 было рассмотрено для диагностики прогрессирующего фиброза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[8,9].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Временная эластография печени была выполнена специализированным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врач, имеющий опыт проведения процедуры (выполнено не менее 500 обследований). Врач был ослеплен для данных пациента.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Устройство FibroscanTM - Echosens (Paris) и результаты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были выражены в килопаскалях (кПа). Экзамен был проведен после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2-х часовой пост. Процедуры были признаны надежными и включены для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анализ только тогда, когда они представили как минимум 10 действительных снимков, успех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уровень не менее 60% и межквартильный диапазон (IQR) жесткости печени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(LS) значение ниже или равно 30%. Зонд XL был использован, когда он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не удалось оценить LS с помощью зонда М. Оценить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производительность, три различных значения отсечки были использованы как предложено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 xml:space="preserve">Wong et al. </w:t>
      </w:r>
      <w:r>
        <w:rPr>
          <w:sz w:val="28"/>
        </w:rPr>
        <w:t xml:space="preserve"> с зондом М (отсечки 7,9, 8,7 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9,6 кПа). При использовании зонда XL отсечка 7,9 зонда M была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 xml:space="preserve">замещен 7.2, как предложено Wong et al. 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Исследование было представлено и одобрено местным этическим комитетом, и все пациенты подписали информированное согласие.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left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left"/>
        <w:rPr>
          <w:b w:val="1"/>
          <w:sz w:val="28"/>
        </w:rPr>
      </w:pPr>
      <w:r>
        <w:rPr>
          <w:b w:val="1"/>
          <w:sz w:val="28"/>
        </w:rPr>
        <w:t>Результаты обследования пациентов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3. Результаты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Сто четыре пациента были включены. Средний возраст был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55,3 ± 10,0 лет и средний ИМТ 33,0 ± 5,1 кг / м2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, Большинство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(74,0%) пациентов были женщины (Таблица 1).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Биопсия печени была репрезентативной, с 18,5 ± 5,2 портальными трактами.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Все пациенты имели стеатоз при биопсии печени, но умеренный или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тяжелый стеатоз имел место у 68,4%, а стеатогепатит - у 76,0%.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Кроме того, фиброз был диагностирован на стадиях от F0 до F2 в 80,8% случаев.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пациентов и при запущенном фиброзе или циррозе у 19,2% пациентов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(Таблица 1 и рис. 1).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Кроме того, результаты показали среднее значение 7,9 кПа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(5,7–12,0 кПа) с IQR 16,0 ± 6,3 и средним контролируемым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Результат параметра затухания (CAP) составляет 324,2 ± 57,7 дБм / мин.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результаты оценок APRI, FIB4 и NAFLD также представлены в таблице 1.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 xml:space="preserve">Когда оценки APRI, FIB4 и NAFLD сравнивались с 3 различными значениями отсечения, проанализированными для  использованием биопсии печени в качестве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Согласно золотому стандарту (таблица 2), THE представляет самую высокую чувствительность и NPV для каждой оцениваемой точки отсечения.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>Точно так же лучший AUROC был получен с помощью THE (Таблица 3).</w:t>
      </w:r>
    </w:p>
    <w:p>
      <w:pPr>
        <w:pStyle w:val="P3"/>
        <w:tabs>
          <w:tab w:val="left" w:pos="567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340"/>
        <w:jc w:val="both"/>
        <w:rPr>
          <w:sz w:val="28"/>
        </w:rPr>
      </w:pPr>
      <w:r>
        <w:rPr>
          <w:sz w:val="28"/>
        </w:rPr>
        <w:t xml:space="preserve">В таблице 1 представлена клиническая характеристика обследуемых. 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 xml:space="preserve">Таблица 1 </w:t>
      </w:r>
    </w:p>
    <w:p>
      <w:pPr>
        <w:pStyle w:val="P3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after="0" w:beforeAutospacing="0" w:afterAutospacing="0"/>
        <w:jc w:val="left"/>
        <w:rPr>
          <w:sz w:val="28"/>
        </w:rPr>
      </w:pPr>
      <w:r>
        <w:rPr>
          <w:sz w:val="28"/>
        </w:rPr>
        <w:t xml:space="preserve">Клинические характеристики 104 пациентов, перенесших биопсию печени и неинвазивных </w:t>
      </w:r>
    </w:p>
    <w:p>
      <w:pPr>
        <w:pStyle w:val="P3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after="0" w:beforeAutospacing="0" w:afterAutospacing="0"/>
        <w:jc w:val="left"/>
        <w:rPr>
          <w:sz w:val="28"/>
        </w:rPr>
      </w:pPr>
      <w:r>
        <w:rPr>
          <w:sz w:val="28"/>
        </w:rPr>
        <w:t>диагностические тесты.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</w:p>
    <w:tbl>
      <w:tblPr>
        <w:tblStyle w:val="T1"/>
        <w:tblW w:w="0" w:type="auto"/>
        <w:tblLook w:val="04A0"/>
      </w:tblPr>
      <w:tblGrid/>
      <w:tr>
        <w:tc>
          <w:tcPr>
            <w:tcW w:w="4923" w:type="dxa"/>
          </w:tcPr>
          <w:p>
            <w:pPr>
              <w:pStyle w:val="P3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</w:pBd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after="0" w:beforeAutospacing="0" w:afterAutospacing="0"/>
              <w:jc w:val="lef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</w:p>
        </w:tc>
        <w:tc>
          <w:tcPr>
            <w:tcW w:w="4923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N = 104</w:t>
            </w:r>
          </w:p>
        </w:tc>
      </w:tr>
      <w:tr>
        <w:tc>
          <w:tcPr>
            <w:tcW w:w="4923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Женский; n (%)                  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Возраст (годы); среднее ± SD  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ИМТ (кг / м2); среднее ± SD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Системная артериальная гипертензия;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Сахарный диабет;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Параметры биопсии печени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Стеатоз умеренный / тяжелый;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F0;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F1;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F2;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F3;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F4;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Количество портальных трактов при биопсии печени; среднее ± SD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THE (кПа); Медиана (IQR)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МКД; среднее ± SD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CAP (дБм / мин); среднее ± SD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APRI; медиана (IQR)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APRI ≥1,5;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APRI ≤ 0,5;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FIB4; Медиана (IQR)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FIB4 ≥2.67;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FIB4 ≤ 1,3; n (%)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Оценка NAFLD; среднее ± SD  1,36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НАЖБП ≥0,676;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НАЖБП &lt;-1.455; n (%)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</w:p>
        </w:tc>
        <w:tc>
          <w:tcPr>
            <w:tcW w:w="4923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77 (74,0)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55,3 ± 10,0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33,0 ± 5,1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79 (76,7)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67 (64,4)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67 (68,4)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34 (32,7)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41 (39,4)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09 (8,6)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09 (8,6)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11 (10,6)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18,5 ± 5,2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7,9 (5,7–12,0)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16,0 ± 6,3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324,2 ± 57,7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0,34 (0,24–0,54)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06 (5,8)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76 (73,1)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1,01 (0,81–1,48)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07 (6,7)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72 (69,20)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-0,80 ±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15 (14,4)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41 (39,4)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</w:p>
        </w:tc>
      </w:tr>
    </w:tbl>
    <w:p>
      <w:pPr>
        <w:pStyle w:val="P3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after="0" w:beforeAutospacing="0" w:afterAutospacing="0"/>
        <w:jc w:val="left"/>
        <w:rPr>
          <w:sz w:val="28"/>
        </w:rPr>
      </w:pPr>
      <w:r>
        <w:rPr>
          <w:sz w:val="28"/>
        </w:rPr>
        <w:t>SD = стандартное отклонение; ИМТ = индекс массы тела; THE = преходящая печеночная эластография; IQR = межквартильный диапазон; кПа = килопаскали; CAP = контролируемое затухание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параметр; НАЖБП = неалкогольная жировая болезнь печени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Таблица 2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Диагностические показатели THE, APRI и FIB4 для выявления прогрессирующего фиброза в связи с биопсией печени у пациентов с НАЖБП (n = 104).</w:t>
      </w:r>
    </w:p>
    <w:tbl>
      <w:tblPr>
        <w:tblStyle w:val="T1"/>
        <w:tblW w:w="0" w:type="auto"/>
        <w:tblLook w:val="04A0"/>
      </w:tblPr>
      <w:tblGrid/>
      <w:tr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метод    </w:t>
            </w:r>
          </w:p>
        </w:tc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Чувствительность(%) </w:t>
            </w:r>
          </w:p>
        </w:tc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Специфичность(%)</w:t>
            </w:r>
          </w:p>
        </w:tc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PPV (%)</w:t>
            </w:r>
          </w:p>
        </w:tc>
        <w:tc>
          <w:tcPr>
            <w:tcW w:w="1970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NPV (%)</w:t>
            </w:r>
          </w:p>
        </w:tc>
      </w:tr>
      <w:tr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 xml:space="preserve">THE 7.9 kPa     THE 8.7 kPa     THE 9.6 kPa     APRI 0.98  APRI 1.5     FIB4   NAFLD     </w:t>
            </w:r>
          </w:p>
        </w:tc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95.0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90.0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85.0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35.0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33.3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 xml:space="preserve"> 50.0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60.0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58.3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64.3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69.0</w:t>
            </w:r>
          </w:p>
          <w:p>
            <w:pPr>
              <w:pStyle w:val="P3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</w:pBd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after="0" w:beforeAutospacing="0" w:afterAutospacing="0"/>
              <w:jc w:val="left"/>
            </w:pPr>
            <w:r>
              <w:t xml:space="preserve"> 95.2</w:t>
            </w:r>
          </w:p>
          <w:p>
            <w:pPr>
              <w:pStyle w:val="P3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</w:pBd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after="0" w:beforeAutospacing="0" w:afterAutospacing="0"/>
              <w:jc w:val="left"/>
            </w:pPr>
            <w:r>
              <w:t>97.1</w:t>
            </w:r>
          </w:p>
          <w:p>
            <w:pPr>
              <w:pStyle w:val="P3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</w:pBd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after="0" w:beforeAutospacing="0" w:afterAutospacing="0"/>
              <w:jc w:val="left"/>
            </w:pPr>
            <w:r>
              <w:t>98.5</w:t>
            </w:r>
          </w:p>
          <w:p>
            <w:pPr>
              <w:pStyle w:val="P3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</w:pBd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after="0" w:beforeAutospacing="0" w:afterAutospacing="0"/>
              <w:jc w:val="left"/>
              <w:rPr>
                <w:sz w:val="28"/>
              </w:rPr>
            </w:pPr>
            <w:r>
              <w:t>80.4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1969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35.2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37.5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39.5</w:t>
            </w:r>
          </w:p>
          <w:p>
            <w:pPr>
              <w:pStyle w:val="P3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</w:pBd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after="0" w:beforeAutospacing="0" w:afterAutospacing="0"/>
              <w:jc w:val="left"/>
              <w:rPr>
                <w:sz w:val="28"/>
              </w:rPr>
            </w:pPr>
            <w:r>
              <w:t>63.3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66.7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85.7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>40.0</w:t>
            </w:r>
          </w:p>
        </w:tc>
        <w:tc>
          <w:tcPr>
            <w:tcW w:w="1970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98.0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96.4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95.1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86.0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89.5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 xml:space="preserve"> 91.7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>90.2</w:t>
            </w:r>
          </w:p>
        </w:tc>
      </w:tr>
    </w:tbl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THE = преходящая печеночная эластография; кПа = килопаскали; PPV = положительный прогноз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ценность; NPV = отрицательная прогностическая ценность; НАЖБП = неалкогольная жировая болезнь печени.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Таблица 3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AUROC для идентификации запущенного фиброза по данным THE, APRI, FIB4 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Оценка НАЖБП в отношении биопсии печени (n = 104).</w:t>
      </w:r>
    </w:p>
    <w:tbl>
      <w:tblPr>
        <w:tblStyle w:val="T1"/>
        <w:tblW w:w="0" w:type="auto"/>
        <w:tblLook w:val="04A0"/>
      </w:tblPr>
      <w:tblGrid/>
      <w:tr>
        <w:tc>
          <w:tcPr>
            <w:tcW w:w="4923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4923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 xml:space="preserve">AUROC (CI 95%) </w:t>
            </w:r>
          </w:p>
        </w:tc>
      </w:tr>
      <w:tr>
        <w:tc>
          <w:tcPr>
            <w:tcW w:w="4923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 xml:space="preserve">THE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 xml:space="preserve"> APRI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 xml:space="preserve"> FIB4 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 xml:space="preserve"> NAFLD score  </w:t>
            </w:r>
          </w:p>
        </w:tc>
        <w:tc>
          <w:tcPr>
            <w:tcW w:w="4923" w:type="dxa"/>
          </w:tcPr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0.87 (0.78–0.97)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0.82 (0.72–0.93)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</w:pPr>
            <w:r>
              <w:t>0.78 (0.65–0.92)</w:t>
            </w:r>
          </w:p>
          <w:p>
            <w:pPr>
              <w:pStyle w:val="P3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132" w:leader="none"/>
              </w:tabs>
              <w:spacing w:lineRule="auto" w:line="360" w:beforeAutospacing="0" w:afterAutospacing="0"/>
              <w:ind w:firstLine="0" w:left="0"/>
              <w:jc w:val="left"/>
              <w:rPr>
                <w:sz w:val="28"/>
              </w:rPr>
            </w:pPr>
            <w:r>
              <w:t>0.72 (0.59–0.84)</w:t>
            </w:r>
          </w:p>
        </w:tc>
      </w:tr>
    </w:tbl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THE = преходящая печеночная эластография; AUROC = площадь под кривой; CI = уверенность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  <w:r>
        <w:rPr>
          <w:sz w:val="28"/>
        </w:rPr>
        <w:t>интервал; НАЖБП = неалкогольная жировая болезнь печени.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самая высокая чувствительность и отрицательная прогностическая ценность для оценки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фиброза, как показано в настоящем исследовании.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Оценка NAFLD широко использовалась в клинической практике </w:t>
      </w:r>
      <w:r>
        <w:rPr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несмотря на его ограничение в выявлении низко-стадийного фиброза. С помощью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значения ниже самой низкой (-1,455) или выше самой высокой (0,675) точки отсечки, она может предсказать отсутствие или наличие расширенного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Фиброз у 75% пациентов оценен, и его можно избежать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Биопсия печени в большинстве случаев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 Тем не менее, в этом исследовании, оценка НАЖБП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представлена ​​низкая чувствительность и положительная прогностическая ценность. Хотя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средний балл НАЖБП в настоящем исследовании был -0,80, выше, чем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пороговое значение, которое исключает наличие прогрессирующего фиброза,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46,2% пациентов находились в серой зоне.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исследовании </w:t>
      </w:r>
      <w:r>
        <w:rPr>
          <w:color w:val="000000"/>
          <w:sz w:val="28"/>
        </w:rPr>
        <w:t xml:space="preserve"> было отмечено, что показатель APRI показал чувствительность 75% 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специфичность 86% при использовании точки отсечения 0,98 для обнаружения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прогрессирующий фиброз у пациентов с НАЖБП. Однако в настоящем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исследовании, оценка APRI показала очень низкую чувствительность, когда оба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точки отсечения 1,5 или 0,98 были оценены.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Несколько неинвазивных алгоритмов, основанных на клинических и биохимических переменных, были разработаны для выявления людей с НАЖБП.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 прогрессирующий фиброз. Тем не менее, основные недостатки включают в себя снижение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точность выявления ранних стадий фиброза и высокой доли пациентов с неопределенными результатами. Эти неинвазивные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оценки включает в себя оценку NAFLD, FIB-4, APRI и оценку BARD.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Несмотря на эти биохимические тесты показали хорошую диагностическую эффективность,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многие пациенты находятся между нижним и верхним пороговыми значениями (неопределенные результаты) и многими факторами, такими как возраст, диабет,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 распространенность фиброза может влиять на их диагностические показатели </w:t>
      </w:r>
      <w:r>
        <w:rPr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Временная печеночная эластография была успешной в выявлении прогрессирующего фиброза у пациентов с вирусами гепатита В и С,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 показал высокую чувствительность и специфичность также у пациентов с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НАЖБП </w:t>
      </w:r>
      <w:r>
        <w:rPr>
          <w:color w:val="000000"/>
          <w:sz w:val="28"/>
        </w:rPr>
        <w:t>. Настоящее исследование указывает на то, что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хороший метод для исключения прогрессирующего фиброза из-за высокого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NPV, аналогично тому, что было описано ранее </w:t>
      </w:r>
      <w:r>
        <w:rPr>
          <w:color w:val="000000"/>
          <w:sz w:val="28"/>
        </w:rPr>
        <w:t>. Однако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95% CI AUROC были широкими, и перекрытие должно ограничивать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Интерпретация значимости данных. Этот метод имеет также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преимущество возможности классифицировать различные этапы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фиброз, повышающий работоспособность </w:t>
      </w:r>
      <w:r>
        <w:rPr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исследовании были проанализированы три различных среза, 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все они представлены высокой чувствительностью и NPV. Наилучшая производительность наблюдалась при отсечке 7,9 кПа. Тем не менее, лучший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специфичность была получена с отсечкой 9,6 кПа, хотя очень похожа на другие отсечки. Много различных срезов были оценены,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 следует отметить, что есть большое противоречие о лучших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отсечение для прогнозирования F3 или F4 у пациентов с НАЖБП </w:t>
      </w:r>
      <w:r>
        <w:rPr>
          <w:color w:val="000000"/>
          <w:sz w:val="28"/>
        </w:rPr>
        <w:t>. Подтверждая эти выводы, комбинация двух или более неинвазивных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методы были рекомендованы для дополнительной диагностики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Точность и избежать диагностики по биопсии печени </w:t>
      </w:r>
      <w:r>
        <w:rPr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Достоверность ТЭ в диагностике фиброза у пациентов с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НАЖБП была оценена в недавнем мета-анализе Хашеми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 другие. </w:t>
      </w:r>
      <w:r>
        <w:rPr>
          <w:color w:val="000000"/>
          <w:sz w:val="28"/>
        </w:rPr>
        <w:t>. Было включено семь статей, состоящих из 698 пациентов.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Авторы показали, что асфиброз увеличивается, чувствительность (87,5%,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93,7% и 96,2% для F2, F3 и F4 соответственно) и специфичность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(78,4%, 91,1% и 92,2% для F2, F3 и F4 соответственно) также улучшаются,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делая вывод, что это можно считать исключающим цирроз печени,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 для подтверждения результатов необходимы дополнительные исследования </w:t>
      </w:r>
      <w:r>
        <w:rPr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перекрестном исследовании оценивали восемь неинвазивных сывороток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тесты (BARD, показатель фиброза НАЖБП, FibroMeterNAFLD, APRI, FIB4,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FibroTest, Hepascore, FibroMeterV2G) и THE в 452 NAFLD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пациенты с биопсией печени. Авторы определили 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FibroMeterV2G как наиболее точные методы для неинвазивных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диагностика фиброза у пациентов с НАЖБП</w:t>
      </w:r>
      <w:r>
        <w:rPr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качестве возможных ограничений этого исследования, мы можем подчеркнуть, что это было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развитый в третичных больницах, и включал преимущественно женщин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пациентов. Однако женщины обычно преобладают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исследованиях НАЖБП </w:t>
      </w:r>
      <w:r>
        <w:rPr>
          <w:color w:val="000000"/>
          <w:sz w:val="28"/>
        </w:rPr>
        <w:t>. В этом исследовании также было преобладание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низкого уровня фиброза, и это, возможно, повлияло на бедных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выполнение тестов. Кроме того, высокий ИМТ может отрицательно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влияют на результаты, как предложено Fujimori et al. </w:t>
      </w:r>
      <w:r>
        <w:rPr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заключение, настоящее исследование предполагает, что переходная эластография печени может быть хорошим инструментом для диагностики и исключения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прогрессирующий фиброз у пациентов с НАЖБП. Транзиторная печеночная эластография показала самую высокую чувствительность и самую высокую NPV для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прогрессирующий фиброз, преодоление APRI, FIB4 и НАЖБП. Эти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должны быть полезны в клинической практике, чтобы избежать печени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биопсия. Тем не менее, необходимы дополнительные исследования с большим количеством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пациентов, чтобы подтвердить эти результаты.</w:t>
      </w:r>
    </w:p>
    <w:p>
      <w:pPr>
        <w:spacing w:lineRule="auto" w:line="240" w:after="0" w:beforeAutospacing="0" w:afterAutospacing="0"/>
        <w:jc w:val="both"/>
        <w:rPr>
          <w:color w:val="000000"/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both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340"/>
        <w:jc w:val="left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Autospacing="0" w:afterAutospacing="0"/>
        <w:ind w:firstLine="426"/>
        <w:jc w:val="left"/>
        <w:rPr>
          <w:sz w:val="28"/>
        </w:rPr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849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 заключение, настоящее исследование предполагает, что преходящая печеночная эластография может быть хорошим инструментом для диагностики и исключения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прогрессирующий фиброз у пациентов с НАЖБП. Транзиторная печеночная эластография показала самую высокую чувствительность и самую высокую NPV для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прогрессирующий фиброз, преодоление APRI, FIB4 и НАЖБП. Эти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результаты должны быть полезны в клинической практике, чтобы избежать печени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биопсия. Тем не менее, необходимы дополнительные исследования с большим количеством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пациентов, чтобы подтвердить эти результаты.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ВЫВОДЫ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Оценка NAFLD широко использовалась в клинической практике 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несмотря на его ограничение в выявлении низко-стадийного фиброза. С помощью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значения ниже самой низкой (-1,455) или выше самой высокой (0,675) точки отсечки, она может предсказать отсутствие или наличие расширенного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Фиброз у 75% пациентов оценен, и его можно избежать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Биопсия печени в большинстве случаев </w:t>
      </w:r>
      <w:r>
        <w:rPr>
          <w:sz w:val="28"/>
        </w:rPr>
        <w:t>. Тем не менее, в этом исследовании, оценка НАЖБП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представлена ​​низкая чувствительность и положительная прогностическая ценность. Хотя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средний балл НАЖБП в настоящем исследовании был -0,80, выше, чем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пороговое значение, которое исключает наличие прогрессирующего фиброза,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46,2% пациентов находились в серой зоне.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В исследовании </w:t>
      </w:r>
      <w:r>
        <w:rPr>
          <w:sz w:val="28"/>
        </w:rPr>
        <w:t xml:space="preserve"> было отмечено, что показатель APRI показал чувствительность 75% 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специфичность 86% при использовании точки отсечения 0,98 для обнаружения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прогрессирующий фиброз у пациентов с НАЖБП. Однако в настоящем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 исследовании, оценка APRI показала очень низкую чувствительность, когда оба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точки отсечения 1,5 или 0,98 были оценены.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Несколько неинвазивных алгоритмов, основанных на клинических и биохимических переменных, были разработаны для выявления людей с НАЖБП.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и прогрессирующий фиброз. Тем не менее, основные недостатки включают в себя снижение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точность выявления ранних стадий фиброза и высокой доли пациентов с неопределенными результатами. Эти неинвазивные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Система оценки включает в себя оценку NAFLD, FIB-4, APRI и оценку BARD.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Несмотря на эти биохимические тесты показали хорошую диагностическую эффективность,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многие пациенты находятся между нижним и верхним пороговыми значениями (неопределенные результаты) и многими факторами, такими как возраст, диабет,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и распространенность фиброза может влиять на их диагностические показатели 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Временная печеночная эластография была успешной в выявлении прогрессирующего фиброза у пациентов с вирусами гепатита В и С,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и показал высокую чувствительность и специфичность также у пациентов с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НАЖБП </w:t>
      </w:r>
      <w:r>
        <w:rPr>
          <w:sz w:val="28"/>
        </w:rPr>
        <w:t>. Настоящее исследование указывает на то, что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хороший метод для исключения прогрессирующего фиброза из-за высокого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NPV, аналогично тому, что было описано ранее </w:t>
      </w:r>
      <w:r>
        <w:rPr>
          <w:sz w:val="28"/>
        </w:rPr>
        <w:t>. Однако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95% CI AUROC были широкими, и перекрытие должно ограничивать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Интерпретация значимости данных. Этот метод имеет также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преимущество возможности классифицировать различные этапы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фиброз, повышающий работоспособность 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 настоящем исследовании были проанализированы три различных среза, 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все они представлены высокой чувствительностью и NPV. Наилучшая производительность наблюдалась при отсечке 7,9 кПа. Тем не менее, лучший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специфичность была получена с отсечкой 9,6 кПа, хотя очень похожа на другие отсечки. Много различных срезов были оценены,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и следует отметить, что есть большое противоречие о лучших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отсечение для прогнозирования F3 или F4 у пациентов с НАЖБП </w:t>
      </w:r>
      <w:r>
        <w:rPr>
          <w:sz w:val="28"/>
        </w:rPr>
        <w:t>. Подтверждая эти выводы, комбинация двух или более неинвазивных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методы были рекомендованы для дополнительной диагностики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Точность и избежать диагностики по биопсии печени 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Достоверность ТЭ в диагностике фиброза у пациентов с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НАЖБП была оценена в недавнем мета-анализе Хашеми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и другие. [39]. Было включено семь статей, состоящих из 698 пациентов.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Авторы показали, что асфиброз увеличивается, чувствительность (87,5%,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93,7% и 96,2% для F2, F3 и F4 соответственно) и специфичность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(78,4%, 91,1% и 92,2% для F2, F3 и F4 соответственно) также улучшаются,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делая вывод, что это можно считать исключающим цирроз печени,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но для подтверждения результатов необходимы дополнительные исследования 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 перекрестном исследовании оценивали восемь неинвазивных сывороток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тесты (BARD, показатель фиброза НАЖБП, FibroMeterNAFLD, APRI, FIB4,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FibroTest, Hepascore, FibroMeterV2G) и THE в 452 NAFLD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пациенты с биопсией печени. Авторы определили и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FibroMeterV2G как наиболее точные методы для неинвазивных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диагностика фиброза у пациентов с НАЖБП </w:t>
      </w:r>
      <w:r>
        <w:rPr>
          <w:sz w:val="28"/>
        </w:rPr>
        <w:t>.</w:t>
      </w:r>
    </w:p>
    <w:p>
      <w:pPr>
        <w:pStyle w:val="P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jc w:val="both"/>
        <w:rPr>
          <w:sz w:val="28"/>
        </w:rPr>
      </w:pPr>
    </w:p>
    <w:p>
      <w:pPr>
        <w:pStyle w:val="P3"/>
        <w:suppressAutoHyphens w:val="1"/>
        <w:spacing w:lineRule="auto" w:line="360" w:beforeAutospacing="0" w:afterAutospacing="0"/>
        <w:jc w:val="both"/>
        <w:rPr>
          <w:sz w:val="28"/>
        </w:rPr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849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both"/>
        <w:rPr>
          <w:rFonts w:ascii="Times New Roman" w:hAnsi="Times New Roman"/>
          <w:sz w:val="28"/>
        </w:rPr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both"/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left"/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left"/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left"/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left"/>
      </w:pP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left"/>
      </w:pPr>
    </w:p>
    <w:p>
      <w:pPr>
        <w:shd w:val="clear" w:fill="auto"/>
        <w:spacing w:lineRule="auto" w:line="240" w:beforeAutospacing="0" w:afterAutospacing="0"/>
        <w:jc w:val="left"/>
        <w:rPr>
          <w:rFonts w:ascii="Helvetica Neue" w:hAnsi="Helvetica Neue"/>
          <w:sz w:val="22"/>
        </w:rPr>
      </w:pPr>
      <w:r>
        <w:br w:type="page"/>
      </w:r>
    </w:p>
    <w:p>
      <w:pPr>
        <w:pStyle w:val="P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uppressAutoHyphens w:val="1"/>
        <w:spacing w:lineRule="auto" w:line="360" w:beforeAutospacing="0" w:afterAutospacing="0"/>
        <w:ind w:firstLine="426"/>
        <w:jc w:val="left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0" w:h="16840" w:code="9"/>
      <w:pgMar w:left="1134" w:right="1134" w:top="1134" w:bottom="1134" w:header="709" w:footer="850" w:gutter="0"/>
      <w:pgNumType w:start="1" w:chapSep="period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"/>
      <w:jc w:val="center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hdr>
</file>

<file path=word/numbering.xml><?xml version="1.0" encoding="utf-8"?>
<w:numbering xmlns:w="http://schemas.openxmlformats.org/wordprocessingml/2006/main">
  <w:abstractNum w:abstractNumId="0">
    <w:nsid w:val="0DBA47FD"/>
    <w:multiLevelType w:val="multilevel"/>
    <w:tmpl w:val="0409001D"/>
    <w:styleLink w:val="N2"/>
    <w:lvl w:ilvl="0">
      <w:start w:val="1"/>
      <w:numFmt w:val="decimal"/>
      <w:suff w:val="tab"/>
      <w:lvlText w:val="%1."/>
      <w:lvlJc w:val="left"/>
      <w:pPr>
        <w:ind w:hanging="709" w:left="709"/>
      </w:pPr>
      <w:rPr>
        <w:rFonts w:ascii="Arial Unicode MS" w:hAnsi="Arial Unicode MS"/>
        <w:caps w:val="0"/>
        <w:strike w:val="0"/>
        <w:sz w:val="20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hanging="709" w:left="709"/>
      </w:pPr>
      <w:rPr>
        <w:rFonts w:ascii="Arial Unicode MS" w:hAnsi="Arial Unicode MS"/>
        <w:caps w:val="0"/>
        <w:strike w:val="0"/>
        <w:sz w:val="20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hanging="689" w:left="689"/>
      </w:pPr>
      <w:rPr>
        <w:rFonts w:ascii="Arial Unicode MS" w:hAnsi="Arial Unicode MS"/>
        <w:caps w:val="0"/>
        <w:strike w:val="0"/>
        <w:sz w:val="20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hanging="729" w:left="1327"/>
      </w:pPr>
      <w:rPr>
        <w:rFonts w:ascii="Arial Unicode MS" w:hAnsi="Arial Unicode MS"/>
        <w:caps w:val="0"/>
        <w:strike w:val="0"/>
        <w:sz w:val="20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hanging="729" w:left="1882"/>
      </w:pPr>
      <w:rPr>
        <w:rFonts w:ascii="Arial Unicode MS" w:hAnsi="Arial Unicode MS"/>
        <w:caps w:val="0"/>
        <w:strike w:val="0"/>
        <w:sz w:val="20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hanging="140" w:left="2093"/>
      </w:pPr>
      <w:rPr>
        <w:rFonts w:ascii="Arial Unicode MS" w:hAnsi="Arial Unicode MS"/>
        <w:caps w:val="0"/>
        <w:strike w:val="0"/>
        <w:sz w:val="2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hanging="140" w:left="2733"/>
      </w:pPr>
      <w:rPr>
        <w:rFonts w:ascii="Arial Unicode MS" w:hAnsi="Arial Unicode MS"/>
        <w:caps w:val="0"/>
        <w:strike w:val="0"/>
        <w:sz w:val="20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hanging="140" w:left="3453"/>
      </w:pPr>
      <w:rPr>
        <w:rFonts w:ascii="Arial Unicode MS" w:hAnsi="Arial Unicode MS"/>
        <w:caps w:val="0"/>
        <w:strike w:val="0"/>
        <w:sz w:val="20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hanging="140" w:left="4253"/>
      </w:pPr>
      <w:rPr>
        <w:rFonts w:ascii="Arial Unicode MS" w:hAnsi="Arial Unicode MS"/>
        <w:caps w:val="0"/>
        <w:strike w:val="0"/>
        <w:sz w:val="20"/>
        <w:vertAlign w:val="baseline"/>
      </w:rPr>
    </w:lvl>
  </w:abstractNum>
  <w:abstractNum w:abstractNumId="1">
    <w:nsid w:val="14497301"/>
    <w:multiLevelType w:val="multilevel"/>
    <w:tmpl w:val="0409001D"/>
    <w:styleLink w:val="N3"/>
    <w:lvl w:ilvl="0">
      <w:start w:val="1"/>
      <w:numFmt w:val="decimal"/>
      <w:suff w:val="tab"/>
      <w:lvlText w:val="%1."/>
      <w:lvlJc w:val="left"/>
      <w:pPr>
        <w:ind w:hanging="426" w:left="426"/>
      </w:pPr>
      <w:rPr>
        <w:rFonts w:ascii="Arial Unicode MS" w:hAnsi="Arial Unicode MS"/>
        <w:caps w:val="0"/>
        <w:strike w:val="0"/>
        <w:sz w:val="20"/>
        <w:vertAlign w:val="baseline"/>
      </w:rPr>
    </w:lvl>
    <w:lvl w:ilvl="1">
      <w:start w:val="1"/>
      <w:numFmt w:val="decimal"/>
      <w:suff w:val="tab"/>
      <w:lvlText w:val="%2."/>
      <w:lvlJc w:val="left"/>
      <w:pPr>
        <w:ind w:hanging="720" w:left="72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2">
      <w:start w:val="1"/>
      <w:numFmt w:val="decimal"/>
      <w:suff w:val="tab"/>
      <w:lvlText w:val="%2.%3."/>
      <w:lvlJc w:val="left"/>
      <w:pPr>
        <w:ind w:hanging="720" w:left="144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hanging="720" w:left="216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hanging="720" w:left="288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hanging="140" w:left="302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hanging="140" w:left="374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hanging="140" w:left="446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hanging="140" w:left="5180"/>
      </w:pPr>
      <w:rPr>
        <w:rFonts w:ascii="Arial Unicode MS" w:hAnsi="Arial Unicode MS"/>
        <w:caps w:val="0"/>
        <w:strike w:val="0"/>
        <w:sz w:val="20"/>
        <w:vertAlign w:val="baseline"/>
      </w:rPr>
    </w:lvl>
  </w:abstractNum>
  <w:abstractNum w:abstractNumId="2">
    <w:nsid w:val="20366E48"/>
    <w:multiLevelType w:val="multilevel"/>
    <w:tmpl w:val="0409001D"/>
    <w:numStyleLink w:val="N1"/>
  </w:abstractNum>
  <w:abstractNum w:abstractNumId="3">
    <w:nsid w:val="3FBA0DFB"/>
    <w:multiLevelType w:val="multilevel"/>
    <w:tmpl w:val="0409001D"/>
    <w:numStyleLink w:val="N3"/>
  </w:abstractNum>
  <w:abstractNum w:abstractNumId="4">
    <w:nsid w:val="5CF4429D"/>
    <w:multiLevelType w:val="multilevel"/>
    <w:tmpl w:val="0409001D"/>
    <w:styleLink w:val="N1"/>
    <w:lvl w:ilvl="0">
      <w:start w:val="1"/>
      <w:numFmt w:val="decimal"/>
      <w:suff w:val="tab"/>
      <w:lvlText w:val="%1."/>
      <w:lvlJc w:val="left"/>
      <w:pPr>
        <w:ind w:hanging="709" w:left="709"/>
      </w:pPr>
      <w:rPr>
        <w:rFonts w:ascii="Arial Unicode MS" w:hAnsi="Arial Unicode MS"/>
        <w:caps w:val="0"/>
        <w:strike w:val="0"/>
        <w:sz w:val="20"/>
        <w:vertAlign w:val="baseline"/>
      </w:rPr>
    </w:lvl>
    <w:lvl w:ilvl="1">
      <w:start w:val="1"/>
      <w:numFmt w:val="decimal"/>
      <w:suff w:val="tab"/>
      <w:lvlText w:val="%2."/>
      <w:lvlJc w:val="left"/>
      <w:pPr>
        <w:ind w:hanging="720" w:left="72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2">
      <w:start w:val="1"/>
      <w:numFmt w:val="decimal"/>
      <w:suff w:val="tab"/>
      <w:lvlText w:val="%2.%3."/>
      <w:lvlJc w:val="left"/>
      <w:pPr>
        <w:ind w:hanging="720" w:left="144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hanging="720" w:left="216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hanging="720" w:left="288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hanging="140" w:left="302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hanging="140" w:left="374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hanging="140" w:left="4460"/>
      </w:pPr>
      <w:rPr>
        <w:rFonts w:ascii="Arial Unicode MS" w:hAnsi="Arial Unicode MS"/>
        <w:caps w:val="0"/>
        <w:strike w:val="0"/>
        <w:sz w:val="2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hanging="140" w:left="5180"/>
      </w:pPr>
      <w:rPr>
        <w:rFonts w:ascii="Arial Unicode MS" w:hAnsi="Arial Unicode MS"/>
        <w:caps w:val="0"/>
        <w:strike w:val="0"/>
        <w:sz w:val="20"/>
        <w:vertAlign w:val="baseline"/>
      </w:rPr>
    </w:lvl>
  </w:abstractNum>
  <w:abstractNum w:abstractNumId="5">
    <w:nsid w:val="68B006E4"/>
    <w:multiLevelType w:val="multilevel"/>
    <w:tmpl w:val="0409001D"/>
    <w:numStyleLink w:val="N2"/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hd w:val="clear" w:fill="FFFFFF"/>
      <w:spacing w:lineRule="atLeast" w:line="100" w:beforeAutospacing="0" w:afterAutospacing="0"/>
      <w:jc w:val="left"/>
    </w:pPr>
    <w:rPr>
      <w:color w:val="000000"/>
      <w:sz w:val="24"/>
      <w:u w:val="none" w:color="000000"/>
    </w:rPr>
  </w:style>
  <w:style w:type="paragraph" w:styleId="P1">
    <w:name w:val="Колонтитул"/>
    <w:pPr>
      <w:tabs>
        <w:tab w:val="right" w:pos="9020" w:leader="none"/>
      </w:tabs>
    </w:pPr>
    <w:rPr>
      <w:rFonts w:ascii="Helvetica Neue" w:hAnsi="Helvetica Neue"/>
      <w:color w:val="000000"/>
      <w:sz w:val="24"/>
    </w:rPr>
  </w:style>
  <w:style w:type="paragraph" w:styleId="P2">
    <w:name w:val="Основной текст A"/>
    <w:pPr>
      <w:shd w:val="clear" w:fill="FFFFFF"/>
      <w:spacing w:lineRule="atLeast" w:line="100" w:beforeAutospacing="0" w:afterAutospacing="0"/>
    </w:pPr>
    <w:rPr>
      <w:rFonts w:ascii="Helvetica Neue" w:hAnsi="Helvetica Neue"/>
      <w:color w:val="000000"/>
      <w:sz w:val="22"/>
      <w:u w:val="none" w:color="000000"/>
    </w:rPr>
  </w:style>
  <w:style w:type="paragraph" w:styleId="P3">
    <w:name w:val="Основной текст B"/>
    <w:pPr>
      <w:shd w:val="clear" w:fill="FFFFFF"/>
      <w:spacing w:lineRule="atLeast" w:line="100" w:beforeAutospacing="0" w:afterAutospacing="0"/>
      <w:jc w:val="left"/>
    </w:pPr>
    <w:rPr>
      <w:color w:val="000000"/>
      <w:sz w:val="24"/>
      <w:u w:val="none" w:color="000000"/>
    </w:rPr>
  </w:style>
  <w:style w:type="paragraph" w:styleId="P4">
    <w:name w:val="Рубрика"/>
    <w:pPr>
      <w:keepNext w:val="1"/>
      <w:shd w:val="clear" w:fill="FFFFFF"/>
      <w:spacing w:lineRule="atLeast" w:line="100" w:beforeAutospacing="0" w:afterAutospacing="0"/>
      <w:outlineLvl w:val="0"/>
    </w:pPr>
    <w:rPr>
      <w:rFonts w:ascii="Helvetica Neue" w:hAnsi="Helvetica Neue"/>
      <w:b w:val="1"/>
      <w:color w:val="000000"/>
      <w:sz w:val="36"/>
      <w:u w:val="none" w:color="000000"/>
    </w:rPr>
  </w:style>
  <w:style w:type="paragraph" w:styleId="P5">
    <w:name w:val="По умолчанию"/>
    <w:pPr>
      <w:shd w:val="clear" w:fill="FFFFFF"/>
      <w:spacing w:lineRule="atLeast" w:line="100" w:beforeAutospacing="0" w:afterAutospacing="0"/>
    </w:pPr>
    <w:rPr>
      <w:rFonts w:ascii="Helvetica Neue" w:hAnsi="Helvetica Neue"/>
      <w:color w:val="000000"/>
      <w:sz w:val="22"/>
      <w:u w:val="none" w:color="000000"/>
    </w:rPr>
  </w:style>
  <w:style w:type="paragraph" w:styleId="P6">
    <w:name w:val="Стиль таблицы 2"/>
    <w:pPr>
      <w:shd w:val="clear" w:fill="FFFFFF"/>
      <w:spacing w:lineRule="atLeast" w:line="100" w:beforeAutospacing="0" w:afterAutospacing="0"/>
    </w:pPr>
    <w:rPr>
      <w:rFonts w:ascii="Helvetica Neue" w:hAnsi="Helvetica Neue"/>
      <w:color w:val="000000"/>
      <w:u w:val="none" w:color="000000"/>
    </w:rPr>
  </w:style>
  <w:style w:type="paragraph" w:styleId="P7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beforeAutospacing="0" w:afterAutospacing="0"/>
    </w:pPr>
    <w:rPr/>
  </w:style>
  <w:style w:type="paragraph" w:styleId="P8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u w:val="single"/>
    </w:rPr>
  </w:style>
  <w:style w:type="character" w:styleId="C3">
    <w:name w:val="Верхний колонтитул Знак"/>
    <w:basedOn w:val="C0"/>
    <w:link w:val="P7"/>
    <w:rPr/>
  </w:style>
  <w:style w:type="character" w:styleId="C4">
    <w:name w:val="Нижний колонтитул Знак"/>
    <w:basedOn w:val="C0"/>
    <w:link w:val="P8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  <w:style w:type="numbering" w:styleId="N1">
    <w:name w:val="Импортированный стиль 1"/>
    <w:pPr>
      <w:numPr>
        <w:numId w:val="1"/>
      </w:numPr>
    </w:pPr>
  </w:style>
  <w:style w:type="numbering" w:styleId="N2">
    <w:name w:val="Импортированный стиль 2"/>
    <w:pPr>
      <w:numPr>
        <w:numId w:val="3"/>
      </w:numPr>
    </w:pPr>
  </w:style>
  <w:style w:type="numbering" w:styleId="N3">
    <w:name w:val="Импортированный стиль 3"/>
    <w:pPr>
      <w:numPr>
        <w:numId w:val="5"/>
      </w:numPr>
    </w:pPr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